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Pr="008F12C8" w:rsidRDefault="00244F43" w:rsidP="009B35B1">
      <w:pPr>
        <w:ind w:left="-360" w:righ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 (</w:t>
      </w:r>
      <w:r w:rsidR="00BE00DA">
        <w:rPr>
          <w:rFonts w:ascii="Times New Roman" w:eastAsia="Times New Roman" w:hAnsi="Times New Roman" w:cs="Times New Roman"/>
          <w:b/>
          <w:sz w:val="28"/>
          <w:szCs w:val="28"/>
        </w:rPr>
        <w:t>1 полугодие 2016</w:t>
      </w: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AC2F5E" w:rsidRPr="008F12C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44F43" w:rsidRPr="008F12C8" w:rsidRDefault="00244F43" w:rsidP="000B7048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Работа с обращениями граждан продолжает оставаться одним из приоритетных направлений в деятельности Администрац</w:t>
      </w:r>
      <w:r w:rsidR="00542A94" w:rsidRPr="008F12C8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8F12C8" w:rsidRDefault="00244F43" w:rsidP="000B7048">
      <w:pPr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8F12C8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</w:t>
      </w:r>
      <w:r w:rsidR="009B35B1">
        <w:rPr>
          <w:rFonts w:ascii="Times New Roman" w:eastAsia="Times New Roman" w:hAnsi="Times New Roman" w:cs="Times New Roman"/>
          <w:sz w:val="28"/>
          <w:szCs w:val="28"/>
        </w:rPr>
        <w:t>ой Федерации»</w:t>
      </w:r>
      <w:r w:rsidRPr="008F12C8">
        <w:rPr>
          <w:rFonts w:ascii="Times New Roman" w:eastAsia="Times New Roman" w:hAnsi="Times New Roman" w:cs="Times New Roman"/>
          <w:sz w:val="28"/>
          <w:szCs w:val="28"/>
        </w:rPr>
        <w:t>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Регламентом работы Администрации Кривошеинского района.</w:t>
      </w:r>
    </w:p>
    <w:p w:rsidR="008A045E" w:rsidRPr="008F12C8" w:rsidRDefault="00244F43" w:rsidP="000B7048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 xml:space="preserve"> Для реализации права граждан на обращение в Администрации Кривошеинского района Томской области созданы необходимые условия:</w:t>
      </w:r>
    </w:p>
    <w:p w:rsidR="00244F43" w:rsidRPr="000B7048" w:rsidRDefault="00244F43" w:rsidP="000B704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048">
        <w:rPr>
          <w:rFonts w:ascii="Times New Roman" w:hAnsi="Times New Roman" w:cs="Times New Roman"/>
          <w:sz w:val="28"/>
          <w:szCs w:val="28"/>
        </w:rPr>
        <w:t>осуществляется прием и регистрация письменных обращений</w:t>
      </w:r>
      <w:r w:rsidR="000B7048">
        <w:rPr>
          <w:rFonts w:ascii="Times New Roman" w:hAnsi="Times New Roman" w:cs="Times New Roman"/>
          <w:sz w:val="28"/>
          <w:szCs w:val="28"/>
        </w:rPr>
        <w:t>;</w:t>
      </w:r>
    </w:p>
    <w:p w:rsidR="00244F43" w:rsidRPr="000B7048" w:rsidRDefault="00F40A9F" w:rsidP="000B704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048">
        <w:rPr>
          <w:rFonts w:ascii="Times New Roman" w:hAnsi="Times New Roman" w:cs="Times New Roman"/>
          <w:sz w:val="28"/>
          <w:szCs w:val="28"/>
        </w:rPr>
        <w:t>он</w:t>
      </w:r>
      <w:r w:rsidR="00FB6E41" w:rsidRPr="000B704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0B7048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="000B7048">
        <w:rPr>
          <w:rFonts w:ascii="Times New Roman" w:hAnsi="Times New Roman" w:cs="Times New Roman"/>
          <w:sz w:val="28"/>
          <w:szCs w:val="28"/>
        </w:rPr>
        <w:t xml:space="preserve"> Кривошеинского района;</w:t>
      </w:r>
    </w:p>
    <w:p w:rsidR="00244F43" w:rsidRPr="000B7048" w:rsidRDefault="00244F43" w:rsidP="000B704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048">
        <w:rPr>
          <w:rFonts w:ascii="Times New Roman" w:hAnsi="Times New Roman" w:cs="Times New Roman"/>
          <w:sz w:val="28"/>
          <w:szCs w:val="28"/>
        </w:rPr>
        <w:t>ведется личный прием граждан, в специально отведенное время</w:t>
      </w:r>
      <w:r w:rsidR="000B7048">
        <w:rPr>
          <w:rFonts w:ascii="Times New Roman" w:hAnsi="Times New Roman" w:cs="Times New Roman"/>
          <w:sz w:val="28"/>
          <w:szCs w:val="28"/>
        </w:rPr>
        <w:t>;</w:t>
      </w:r>
    </w:p>
    <w:p w:rsidR="009A46FA" w:rsidRPr="008F12C8" w:rsidRDefault="00244F43" w:rsidP="000B7048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РФ.</w:t>
      </w:r>
    </w:p>
    <w:p w:rsidR="00542A94" w:rsidRPr="008F12C8" w:rsidRDefault="009A46FA" w:rsidP="000B7048">
      <w:pPr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8F12C8" w:rsidRDefault="00542A94" w:rsidP="000B7048">
      <w:pPr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8F12C8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не более </w:t>
      </w:r>
      <w:r w:rsidR="0066512B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8F1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8F12C8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8F12C8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8F12C8" w:rsidRDefault="00BE00DA" w:rsidP="000B7048">
      <w:pPr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01.01.2016 года по 30.06.2016</w:t>
      </w:r>
      <w:r w:rsidR="00732EBB" w:rsidRPr="008F12C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732EBB" w:rsidRPr="008F12C8">
        <w:rPr>
          <w:rFonts w:ascii="Times New Roman" w:eastAsia="Times New Roman" w:hAnsi="Times New Roman" w:cs="Times New Roman"/>
          <w:sz w:val="28"/>
          <w:szCs w:val="28"/>
        </w:rPr>
        <w:t xml:space="preserve">трацию Кривошеинского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57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письмен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>
        <w:rPr>
          <w:rFonts w:ascii="Times New Roman" w:eastAsia="Times New Roman" w:hAnsi="Times New Roman" w:cs="Times New Roman"/>
          <w:sz w:val="28"/>
          <w:szCs w:val="28"/>
        </w:rPr>
        <w:t>ных обращений граждан, что на 27 обращений меньше, чем за аналогичный период 2015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, и на 8 обращений меньше по сравнению с аналогичным периодом 2014 года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A94" w:rsidRPr="008F12C8" w:rsidRDefault="00657293" w:rsidP="000B7048">
      <w:pPr>
        <w:ind w:left="-540" w:right="-616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17958" cy="1921279"/>
            <wp:effectExtent l="19050" t="0" r="11142" b="277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6E41" w:rsidRPr="008F12C8" w:rsidRDefault="000B7048" w:rsidP="000B7048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6512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32EBB" w:rsidRPr="008F12C8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8F12C8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8F12C8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>
        <w:rPr>
          <w:rFonts w:ascii="Times New Roman" w:hAnsi="Times New Roman" w:cs="Times New Roman"/>
          <w:sz w:val="28"/>
          <w:szCs w:val="28"/>
        </w:rPr>
        <w:t>она, о</w:t>
      </w:r>
      <w:r>
        <w:rPr>
          <w:rFonts w:ascii="Times New Roman" w:hAnsi="Times New Roman" w:cs="Times New Roman"/>
          <w:sz w:val="28"/>
          <w:szCs w:val="28"/>
        </w:rPr>
        <w:t>стальные 11 -</w:t>
      </w:r>
      <w:r w:rsidR="00E43E8E" w:rsidRPr="008F12C8">
        <w:rPr>
          <w:rFonts w:ascii="Times New Roman" w:hAnsi="Times New Roman" w:cs="Times New Roman"/>
          <w:sz w:val="28"/>
          <w:szCs w:val="28"/>
        </w:rPr>
        <w:t xml:space="preserve"> перенаправлены</w:t>
      </w:r>
      <w:r w:rsidR="00FB6E41" w:rsidRPr="008F12C8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542A94" w:rsidRPr="000B7048" w:rsidRDefault="000F0EF3" w:rsidP="000B7048">
      <w:pPr>
        <w:ind w:left="-540" w:right="-61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7870" cy="4032712"/>
            <wp:effectExtent l="19050" t="0" r="11430" b="588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0001" w:rsidRPr="002C15DF" w:rsidRDefault="003F46C4" w:rsidP="00573DBE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7E8">
        <w:rPr>
          <w:rFonts w:ascii="Times New Roman" w:eastAsia="Times New Roman" w:hAnsi="Times New Roman" w:cs="Times New Roman"/>
          <w:sz w:val="28"/>
          <w:szCs w:val="28"/>
        </w:rPr>
        <w:t>Обращения поступ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ают по различным вопросам, но общий анал</w:t>
      </w:r>
      <w:r w:rsidR="000B7048">
        <w:rPr>
          <w:rFonts w:ascii="Times New Roman" w:eastAsia="Times New Roman" w:hAnsi="Times New Roman" w:cs="Times New Roman"/>
          <w:sz w:val="28"/>
          <w:szCs w:val="28"/>
        </w:rPr>
        <w:t>из обращений показывает, что по</w:t>
      </w:r>
      <w:r w:rsidR="000B7048" w:rsidRPr="002027E8">
        <w:rPr>
          <w:rFonts w:ascii="Times New Roman" w:eastAsia="Times New Roman" w:hAnsi="Times New Roman" w:cs="Times New Roman"/>
          <w:sz w:val="28"/>
          <w:szCs w:val="28"/>
        </w:rPr>
        <w:t>-прежнему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 xml:space="preserve"> самыми сложными и многочисленными </w:t>
      </w:r>
      <w:r w:rsidR="002027E8">
        <w:rPr>
          <w:rFonts w:ascii="Times New Roman" w:eastAsia="Times New Roman" w:hAnsi="Times New Roman" w:cs="Times New Roman"/>
          <w:sz w:val="28"/>
          <w:szCs w:val="28"/>
        </w:rPr>
        <w:t xml:space="preserve">остаются проблемы </w:t>
      </w:r>
      <w:r w:rsidRPr="002027E8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="002027E8">
        <w:rPr>
          <w:rFonts w:ascii="Times New Roman" w:hAnsi="Times New Roman" w:cs="Times New Roman"/>
          <w:sz w:val="28"/>
          <w:szCs w:val="28"/>
        </w:rPr>
        <w:t xml:space="preserve">коммунальной сферы. 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обращений связана </w:t>
      </w:r>
      <w:r w:rsidR="003276B2">
        <w:rPr>
          <w:rFonts w:ascii="Times New Roman" w:eastAsia="Times New Roman" w:hAnsi="Times New Roman" w:cs="Times New Roman"/>
          <w:sz w:val="28"/>
          <w:szCs w:val="28"/>
        </w:rPr>
        <w:t>социальной защитой населения и вопросами о льготах и социальных выплатах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7E8" w:rsidRPr="00202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3DBE">
        <w:rPr>
          <w:rFonts w:ascii="Times New Roman" w:hAnsi="Times New Roman" w:cs="Times New Roman"/>
          <w:sz w:val="28"/>
          <w:szCs w:val="28"/>
        </w:rPr>
        <w:t xml:space="preserve">Не перестают быть актуальными вопросы газификации. </w:t>
      </w:r>
      <w:r w:rsidR="002C15DF">
        <w:rPr>
          <w:rFonts w:ascii="Times New Roman" w:hAnsi="Times New Roman" w:cs="Times New Roman"/>
          <w:sz w:val="28"/>
          <w:szCs w:val="28"/>
        </w:rPr>
        <w:t xml:space="preserve">Поступали заявления 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помощи, </w:t>
      </w:r>
      <w:r w:rsidR="0066512B">
        <w:rPr>
          <w:rFonts w:ascii="Times New Roman" w:hAnsi="Times New Roman" w:cs="Times New Roman"/>
          <w:sz w:val="28"/>
          <w:szCs w:val="28"/>
        </w:rPr>
        <w:t>о</w:t>
      </w:r>
      <w:r w:rsidR="00573DBE">
        <w:rPr>
          <w:rFonts w:ascii="Times New Roman" w:hAnsi="Times New Roman" w:cs="Times New Roman"/>
          <w:sz w:val="28"/>
          <w:szCs w:val="28"/>
        </w:rPr>
        <w:t>б</w:t>
      </w:r>
      <w:r w:rsidR="0066512B">
        <w:rPr>
          <w:rFonts w:ascii="Times New Roman" w:hAnsi="Times New Roman" w:cs="Times New Roman"/>
          <w:sz w:val="28"/>
          <w:szCs w:val="28"/>
        </w:rPr>
        <w:t xml:space="preserve"> индивидуальном жилищном строительстве</w:t>
      </w:r>
      <w:r w:rsidR="002C15DF" w:rsidRPr="002C15DF">
        <w:rPr>
          <w:rFonts w:ascii="Times New Roman" w:hAnsi="Times New Roman" w:cs="Times New Roman"/>
          <w:sz w:val="28"/>
          <w:szCs w:val="28"/>
        </w:rPr>
        <w:t>,</w:t>
      </w:r>
      <w:r w:rsidR="0066512B">
        <w:rPr>
          <w:rFonts w:ascii="Times New Roman" w:hAnsi="Times New Roman" w:cs="Times New Roman"/>
          <w:sz w:val="28"/>
          <w:szCs w:val="28"/>
        </w:rPr>
        <w:t xml:space="preserve"> оказании помощи</w:t>
      </w:r>
      <w:r w:rsidR="002C15DF">
        <w:rPr>
          <w:rFonts w:ascii="Times New Roman" w:hAnsi="Times New Roman" w:cs="Times New Roman"/>
          <w:sz w:val="28"/>
          <w:szCs w:val="28"/>
        </w:rPr>
        <w:t xml:space="preserve"> в ремонте муниципального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 жилья</w:t>
      </w:r>
      <w:proofErr w:type="gramStart"/>
      <w:r w:rsidR="002C1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5DF">
        <w:rPr>
          <w:rFonts w:ascii="Times New Roman" w:hAnsi="Times New Roman" w:cs="Times New Roman"/>
          <w:sz w:val="28"/>
          <w:szCs w:val="28"/>
        </w:rPr>
        <w:t xml:space="preserve"> </w:t>
      </w:r>
      <w:r w:rsidR="009B35B1">
        <w:rPr>
          <w:rFonts w:ascii="Times New Roman" w:hAnsi="Times New Roman" w:cs="Times New Roman"/>
          <w:sz w:val="28"/>
          <w:szCs w:val="28"/>
        </w:rPr>
        <w:t>Поступают</w:t>
      </w:r>
      <w:r w:rsidR="003276B2">
        <w:rPr>
          <w:rFonts w:ascii="Times New Roman" w:hAnsi="Times New Roman" w:cs="Times New Roman"/>
          <w:sz w:val="28"/>
          <w:szCs w:val="28"/>
        </w:rPr>
        <w:t xml:space="preserve"> вопросы об общественном транспорте на селе, в связи с </w:t>
      </w:r>
      <w:r w:rsidR="009B35B1">
        <w:rPr>
          <w:rFonts w:ascii="Times New Roman" w:hAnsi="Times New Roman" w:cs="Times New Roman"/>
          <w:sz w:val="28"/>
          <w:szCs w:val="28"/>
        </w:rPr>
        <w:t>перебоями в работе МУП «Кривошеинское АТП».</w:t>
      </w:r>
    </w:p>
    <w:p w:rsidR="00C95CCA" w:rsidRPr="008F12C8" w:rsidRDefault="00C51154" w:rsidP="000B7048">
      <w:pPr>
        <w:ind w:left="-54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41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Активность населения Кривошеинского района по тематическим </w:t>
      </w:r>
      <w:r w:rsidR="003276B2">
        <w:rPr>
          <w:rFonts w:ascii="Times New Roman" w:hAnsi="Times New Roman" w:cs="Times New Roman"/>
          <w:b/>
          <w:sz w:val="28"/>
          <w:szCs w:val="28"/>
        </w:rPr>
        <w:t>разделам в первом полугодии 2016</w:t>
      </w:r>
      <w:r w:rsidRPr="0054133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8F12C8">
        <w:rPr>
          <w:rFonts w:ascii="Times New Roman" w:hAnsi="Times New Roman" w:cs="Times New Roman"/>
          <w:sz w:val="28"/>
          <w:szCs w:val="28"/>
        </w:rPr>
        <w:t xml:space="preserve"> </w:t>
      </w: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4613" cy="3192087"/>
            <wp:effectExtent l="19050" t="0" r="17087" b="831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35B1" w:rsidRDefault="009B35B1" w:rsidP="00573DBE">
      <w:pPr>
        <w:ind w:left="-5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тенденция, когда граждане обращаются с жалобами и заявлениями в различные инстанции без учёта их полномочий и компетенции. Большое количество обращений из числа письменных поступили в адрес Администрации района не по подведомственности. Но и эти обращения не остаются без внимания со стороны властей района. Регулярно осуществляются проверки полноты рассмотрения вопросов, изложенных в обращениях, адекватности принимаемых решений,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уточняетрся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мнение заявителя об организации работы с его обращением.</w:t>
      </w:r>
    </w:p>
    <w:p w:rsidR="001935D0" w:rsidRPr="00573DBE" w:rsidRDefault="002F2D26" w:rsidP="00573DBE">
      <w:pPr>
        <w:ind w:left="-540" w:firstLine="360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1935D0" w:rsidRDefault="001935D0" w:rsidP="000B7048">
      <w:pPr>
        <w:spacing w:after="0" w:line="240" w:lineRule="auto"/>
        <w:ind w:left="-540" w:firstLine="36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935D0" w:rsidRDefault="0054133A" w:rsidP="000B7048">
      <w:pPr>
        <w:spacing w:after="0" w:line="240" w:lineRule="auto"/>
        <w:ind w:left="-540" w:firstLine="36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31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Справка о количестве обращений по муниципальным образованиям зарегистрированных </w:t>
      </w:r>
    </w:p>
    <w:p w:rsidR="0054133A" w:rsidRPr="001935D0" w:rsidRDefault="00573DBE" w:rsidP="000B7048">
      <w:pPr>
        <w:spacing w:after="0" w:line="240" w:lineRule="auto"/>
        <w:ind w:left="-540" w:firstLine="36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01.01.2016 по 30.06.2016</w:t>
      </w:r>
    </w:p>
    <w:tbl>
      <w:tblPr>
        <w:tblStyle w:val="a5"/>
        <w:tblW w:w="0" w:type="auto"/>
        <w:tblLook w:val="04A0"/>
      </w:tblPr>
      <w:tblGrid>
        <w:gridCol w:w="4608"/>
        <w:gridCol w:w="3607"/>
      </w:tblGrid>
      <w:tr w:rsidR="0054133A" w:rsidTr="00573DBE">
        <w:trPr>
          <w:trHeight w:val="1125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607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личество поступивших обращений</w:t>
            </w:r>
          </w:p>
        </w:tc>
      </w:tr>
      <w:tr w:rsidR="0054133A" w:rsidTr="00573DBE">
        <w:trPr>
          <w:trHeight w:val="354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Кривошеинское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133A" w:rsidTr="00573DBE">
        <w:trPr>
          <w:trHeight w:val="375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Новокривошеинское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133A" w:rsidTr="00573DBE">
        <w:trPr>
          <w:trHeight w:val="354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Володинское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33A" w:rsidTr="00573DBE">
        <w:trPr>
          <w:trHeight w:val="375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Красноярское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3A" w:rsidTr="00573DBE">
        <w:trPr>
          <w:trHeight w:val="354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Пудовское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133A" w:rsidTr="00573DBE">
        <w:trPr>
          <w:trHeight w:val="375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133A" w:rsidTr="00573DBE">
        <w:trPr>
          <w:trHeight w:val="354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Иштанское СП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3A" w:rsidTr="00573DBE">
        <w:trPr>
          <w:trHeight w:val="375"/>
        </w:trPr>
        <w:tc>
          <w:tcPr>
            <w:tcW w:w="4608" w:type="dxa"/>
          </w:tcPr>
          <w:p w:rsidR="0054133A" w:rsidRPr="006E0C5B" w:rsidRDefault="0054133A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607" w:type="dxa"/>
          </w:tcPr>
          <w:p w:rsidR="0054133A" w:rsidRPr="006E0C5B" w:rsidRDefault="00573DBE" w:rsidP="000B7048">
            <w:pPr>
              <w:ind w:left="-54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4133A" w:rsidRDefault="0054133A" w:rsidP="000B7048">
      <w:pPr>
        <w:ind w:left="-540" w:firstLine="360"/>
        <w:jc w:val="center"/>
        <w:rPr>
          <w:b/>
          <w:sz w:val="32"/>
          <w:szCs w:val="32"/>
        </w:rPr>
      </w:pPr>
    </w:p>
    <w:p w:rsidR="0054133A" w:rsidRDefault="0054133A" w:rsidP="000B7048">
      <w:pPr>
        <w:spacing w:after="0" w:line="240" w:lineRule="auto"/>
        <w:ind w:left="-540" w:firstLine="360"/>
        <w:jc w:val="center"/>
        <w:rPr>
          <w:b/>
          <w:sz w:val="32"/>
          <w:szCs w:val="32"/>
        </w:rPr>
      </w:pPr>
      <w:r w:rsidRPr="00C174C1">
        <w:rPr>
          <w:b/>
          <w:sz w:val="32"/>
          <w:szCs w:val="32"/>
        </w:rPr>
        <w:t xml:space="preserve">Сравнительная динамика поступивших обращений </w:t>
      </w:r>
    </w:p>
    <w:p w:rsidR="0054133A" w:rsidRPr="00C174C1" w:rsidRDefault="009B35B1" w:rsidP="000B7048">
      <w:pPr>
        <w:spacing w:after="0" w:line="240" w:lineRule="auto"/>
        <w:ind w:left="-54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1-ые полугодия 2015 и 2016 годов.</w:t>
      </w:r>
    </w:p>
    <w:p w:rsidR="0054133A" w:rsidRDefault="0054133A" w:rsidP="000B7048">
      <w:pPr>
        <w:ind w:left="-540" w:firstLine="360"/>
      </w:pPr>
      <w:r>
        <w:rPr>
          <w:noProof/>
        </w:rPr>
        <w:drawing>
          <wp:inline distT="0" distB="0" distL="0" distR="0">
            <wp:extent cx="5489864" cy="4629150"/>
            <wp:effectExtent l="19050" t="0" r="1558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33A" w:rsidRPr="008F12C8" w:rsidRDefault="00573DBE" w:rsidP="006651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обращений поступило из Кривошеинского СП, Володинского СП и Новокривошеинского СП.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обращений зарегистрировано не было.</w:t>
      </w: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78DD"/>
    <w:multiLevelType w:val="hybridMultilevel"/>
    <w:tmpl w:val="00285250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70460"/>
    <w:rsid w:val="000707A3"/>
    <w:rsid w:val="000B7048"/>
    <w:rsid w:val="000F0EF3"/>
    <w:rsid w:val="00136092"/>
    <w:rsid w:val="001935D0"/>
    <w:rsid w:val="002027E8"/>
    <w:rsid w:val="00244F43"/>
    <w:rsid w:val="002779DF"/>
    <w:rsid w:val="00290001"/>
    <w:rsid w:val="002B477E"/>
    <w:rsid w:val="002B7881"/>
    <w:rsid w:val="002C15DF"/>
    <w:rsid w:val="002F2D26"/>
    <w:rsid w:val="002F6DC7"/>
    <w:rsid w:val="003276B2"/>
    <w:rsid w:val="003B7CE9"/>
    <w:rsid w:val="003F46C4"/>
    <w:rsid w:val="00431DAA"/>
    <w:rsid w:val="004603A6"/>
    <w:rsid w:val="0054133A"/>
    <w:rsid w:val="00542A94"/>
    <w:rsid w:val="00573DBE"/>
    <w:rsid w:val="005A1260"/>
    <w:rsid w:val="005D76F6"/>
    <w:rsid w:val="00657293"/>
    <w:rsid w:val="0066512B"/>
    <w:rsid w:val="00732EBB"/>
    <w:rsid w:val="00890F60"/>
    <w:rsid w:val="008A045E"/>
    <w:rsid w:val="008F12C8"/>
    <w:rsid w:val="00901A68"/>
    <w:rsid w:val="00961751"/>
    <w:rsid w:val="009A46FA"/>
    <w:rsid w:val="009B35B1"/>
    <w:rsid w:val="00AA1B30"/>
    <w:rsid w:val="00AC2F5E"/>
    <w:rsid w:val="00AD0D28"/>
    <w:rsid w:val="00BD07DA"/>
    <w:rsid w:val="00BE00DA"/>
    <w:rsid w:val="00BE023E"/>
    <w:rsid w:val="00C174A1"/>
    <w:rsid w:val="00C51154"/>
    <w:rsid w:val="00C540DC"/>
    <w:rsid w:val="00C9082A"/>
    <w:rsid w:val="00C95CCA"/>
    <w:rsid w:val="00E43E8E"/>
    <w:rsid w:val="00F40A9F"/>
    <w:rsid w:val="00FB6E4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84</c:v>
                </c:pt>
                <c:pt idx="2">
                  <c:v>57</c:v>
                </c:pt>
              </c:numCache>
            </c:numRef>
          </c:val>
        </c:ser>
        <c:axId val="64720896"/>
        <c:axId val="64722432"/>
      </c:barChart>
      <c:catAx>
        <c:axId val="64720896"/>
        <c:scaling>
          <c:orientation val="minMax"/>
        </c:scaling>
        <c:axPos val="l"/>
        <c:numFmt formatCode="General" sourceLinked="1"/>
        <c:tickLblPos val="nextTo"/>
        <c:crossAx val="64722432"/>
        <c:crosses val="autoZero"/>
        <c:auto val="1"/>
        <c:lblAlgn val="ctr"/>
        <c:lblOffset val="100"/>
      </c:catAx>
      <c:valAx>
        <c:axId val="64722432"/>
        <c:scaling>
          <c:orientation val="minMax"/>
        </c:scaling>
        <c:axPos val="b"/>
        <c:majorGridlines/>
        <c:numFmt formatCode="General" sourceLinked="1"/>
        <c:tickLblPos val="nextTo"/>
        <c:crossAx val="647208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Куда</a:t>
            </a:r>
            <a:r>
              <a:rPr lang="ru-RU" baseline="0"/>
              <a:t> поступили обращения</a:t>
            </a:r>
            <a:endParaRPr lang="ru-RU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На имя Президента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 </c:v>
                </c:pt>
                <c:pt idx="5">
                  <c:v>с личного приема заместителей Главы</c:v>
                </c:pt>
                <c:pt idx="6">
                  <c:v>на электоронный адрес Администрации Кривошеинского района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11</c:v>
                </c:pt>
                <c:pt idx="4">
                  <c:v>21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Лист1!$A$2:$A$11</c:f>
              <c:strCache>
                <c:ptCount val="10"/>
                <c:pt idx="0">
                  <c:v>Воспитание и обучение детей, подростков и молодёжи</c:v>
                </c:pt>
                <c:pt idx="1">
                  <c:v>Газификация</c:v>
                </c:pt>
                <c:pt idx="2">
                  <c:v>Дорожное хозяйство</c:v>
                </c:pt>
                <c:pt idx="3">
                  <c:v>Жилищное хозяйство (жилищные вопросы)</c:v>
                </c:pt>
                <c:pt idx="4">
                  <c:v>Коммунальное хозяйство</c:v>
                </c:pt>
                <c:pt idx="5">
                  <c:v>Обеспечение законности и правопорядка</c:v>
                </c:pt>
                <c:pt idx="6">
                  <c:v>Социальная защита</c:v>
                </c:pt>
                <c:pt idx="7">
                  <c:v>Утилизация ТБО</c:v>
                </c:pt>
                <c:pt idx="8">
                  <c:v>Транспорт</c:v>
                </c:pt>
                <c:pt idx="9">
                  <c:v>Другие вопросы (прочее)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9</c:v>
                </c:pt>
                <c:pt idx="4">
                  <c:v>10</c:v>
                </c:pt>
                <c:pt idx="5">
                  <c:v>1</c:v>
                </c:pt>
                <c:pt idx="6">
                  <c:v>7</c:v>
                </c:pt>
                <c:pt idx="7">
                  <c:v>3</c:v>
                </c:pt>
                <c:pt idx="8">
                  <c:v>4</c:v>
                </c:pt>
                <c:pt idx="9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649984654986192"/>
          <c:y val="3.572125168941697E-2"/>
          <c:w val="0.33478152925427862"/>
          <c:h val="0.9285574966211660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1 полугодие 2016 год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Кривошеинское СП</c:v>
                </c:pt>
                <c:pt idx="1">
                  <c:v>Новокривошеинское СП</c:v>
                </c:pt>
                <c:pt idx="2">
                  <c:v>Володинское СП</c:v>
                </c:pt>
                <c:pt idx="3">
                  <c:v>Красноярское СП</c:v>
                </c:pt>
                <c:pt idx="4">
                  <c:v>Пудовское Сп</c:v>
                </c:pt>
                <c:pt idx="5">
                  <c:v>Петровское Сп</c:v>
                </c:pt>
                <c:pt idx="6">
                  <c:v>Иштанское СП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37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1 полугодие 2015 год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Кривошеинское СП</c:v>
                </c:pt>
                <c:pt idx="1">
                  <c:v>Новокривошеинское СП</c:v>
                </c:pt>
                <c:pt idx="2">
                  <c:v>Володинское СП</c:v>
                </c:pt>
                <c:pt idx="3">
                  <c:v>Красноярское СП</c:v>
                </c:pt>
                <c:pt idx="4">
                  <c:v>Пудовское Сп</c:v>
                </c:pt>
                <c:pt idx="5">
                  <c:v>Петровское Сп</c:v>
                </c:pt>
                <c:pt idx="6">
                  <c:v>Иштанское СП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56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axId val="105527168"/>
        <c:axId val="109442176"/>
      </c:barChart>
      <c:catAx>
        <c:axId val="105527168"/>
        <c:scaling>
          <c:orientation val="minMax"/>
        </c:scaling>
        <c:axPos val="b"/>
        <c:tickLblPos val="nextTo"/>
        <c:crossAx val="109442176"/>
        <c:crosses val="autoZero"/>
        <c:auto val="1"/>
        <c:lblAlgn val="ctr"/>
        <c:lblOffset val="100"/>
      </c:catAx>
      <c:valAx>
        <c:axId val="10944217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0552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31</cp:revision>
  <cp:lastPrinted>2015-07-27T05:41:00Z</cp:lastPrinted>
  <dcterms:created xsi:type="dcterms:W3CDTF">2015-04-03T09:45:00Z</dcterms:created>
  <dcterms:modified xsi:type="dcterms:W3CDTF">2016-07-13T02:55:00Z</dcterms:modified>
</cp:coreProperties>
</file>