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DD" w:rsidRPr="003266AE" w:rsidRDefault="00886B09" w:rsidP="003266AE">
      <w:pPr>
        <w:ind w:left="-14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B09">
        <w:rPr>
          <w:rFonts w:ascii="Times New Roman" w:hAnsi="Times New Roman" w:cs="Times New Roman"/>
          <w:noProof/>
        </w:rPr>
        <w:pict>
          <v:rect id="_x0000_s1035" style="position:absolute;left:0;text-align:left;margin-left:134.7pt;margin-top:-46.7pt;width:357.5pt;height:52.6pt;z-index:251663360" filled="f" stroked="f">
            <v:textbox style="mso-next-textbox:#_x0000_s1035">
              <w:txbxContent>
                <w:p w:rsidR="000A52B4" w:rsidRPr="000A52B4" w:rsidRDefault="000A52B4" w:rsidP="000A52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52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Отчет о работе с обращением граждан Администрации Кривошеинского района за 2019</w:t>
                  </w:r>
                  <w:r w:rsidRPr="000A52B4">
                    <w:rPr>
                      <w:sz w:val="28"/>
                      <w:szCs w:val="28"/>
                    </w:rPr>
                    <w:t xml:space="preserve"> </w:t>
                  </w:r>
                  <w:r w:rsidRPr="000A52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</w:t>
                  </w:r>
                </w:p>
              </w:txbxContent>
            </v:textbox>
          </v:rect>
        </w:pict>
      </w:r>
      <w:r w:rsidRPr="00886B09">
        <w:rPr>
          <w:rFonts w:ascii="Times New Roman" w:hAnsi="Times New Roman" w:cs="Times New Roman"/>
          <w:noProof/>
        </w:rPr>
        <w:pict>
          <v:rect id="_x0000_s1033" style="position:absolute;left:0;text-align:left;margin-left:-6.8pt;margin-top:164.9pt;width:479.6pt;height:20.05pt;z-index:251662336" filled="f" stroked="f">
            <v:textbox style="mso-next-textbox:#_x0000_s1033">
              <w:txbxContent>
                <w:p w:rsidR="00F039BC" w:rsidRPr="00F039BC" w:rsidRDefault="00972C4E" w:rsidP="00F039B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граждан на обращение</w:t>
                  </w:r>
                  <w:r w:rsidR="00683EBC">
                    <w:rPr>
                      <w:rFonts w:ascii="Times New Roman" w:hAnsi="Times New Roman" w:cs="Times New Roman"/>
                    </w:rPr>
                    <w:t xml:space="preserve"> в Администрации Криво</w:t>
                  </w:r>
                  <w:r w:rsidR="000A52B4">
                    <w:rPr>
                      <w:rFonts w:ascii="Times New Roman" w:hAnsi="Times New Roman" w:cs="Times New Roman"/>
                    </w:rPr>
                    <w:t>шеинского района Томской област</w:t>
                  </w:r>
                  <w:r w:rsidR="00683EBC">
                    <w:rPr>
                      <w:rFonts w:ascii="Times New Roman" w:hAnsi="Times New Roman" w:cs="Times New Roman"/>
                    </w:rPr>
                    <w:t xml:space="preserve">и </w:t>
                  </w:r>
                  <w:r w:rsidR="000A52B4">
                    <w:rPr>
                      <w:rFonts w:ascii="Times New Roman" w:hAnsi="Times New Roman" w:cs="Times New Roman"/>
                    </w:rPr>
                    <w:t>созданы необ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26.55pt;margin-top:-27pt;width:355pt;height:191.9pt;z-index:251660288" filled="f" stroked="f">
            <v:textbox style="mso-next-textbox:#_x0000_s1029">
              <w:txbxContent>
                <w:p w:rsidR="00C668DD" w:rsidRDefault="00132A97" w:rsidP="00132A9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="00C668DD" w:rsidRPr="005D66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668DD" w:rsidRDefault="00C668DD" w:rsidP="00D51C02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652CE1">
                    <w:rPr>
                      <w:rFonts w:ascii="Times New Roman" w:hAnsi="Times New Roman" w:cs="Times New Roman"/>
                    </w:rPr>
                    <w:t xml:space="preserve">Работа с обращениями граждан одно из </w:t>
                  </w:r>
                  <w:r w:rsidR="00ED2319" w:rsidRPr="00652CE1">
                    <w:rPr>
                      <w:rFonts w:ascii="Times New Roman" w:hAnsi="Times New Roman" w:cs="Times New Roman"/>
                    </w:rPr>
                    <w:t>важнейших</w:t>
                  </w:r>
                  <w:r w:rsidRPr="00652C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2C4E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652CE1">
                    <w:rPr>
                      <w:rFonts w:ascii="Times New Roman" w:hAnsi="Times New Roman" w:cs="Times New Roman"/>
                    </w:rPr>
                    <w:t>направлений в деятельности Администрации Кривошеинского района,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            </w:r>
                  <w:r w:rsidR="00132A97" w:rsidRPr="00652CE1">
                    <w:rPr>
                      <w:rFonts w:ascii="Times New Roman" w:hAnsi="Times New Roman" w:cs="Times New Roman"/>
                    </w:rPr>
                    <w:t xml:space="preserve"> Рассмотрение обращений осуществляется в соответствии с Федеральным законом от 2 мая 2006 года № 59-ФЗ « О порядке рассмотрения обращений граждан Российской Федерации», Законом Томской области от 11 января 2007 года №5-ОЗ «Об обращениях граждан в органы государственной власти Томской области и органы</w:t>
                  </w:r>
                  <w:r w:rsidR="00132A97">
                    <w:rPr>
                      <w:rFonts w:ascii="Times New Roman" w:hAnsi="Times New Roman" w:cs="Times New Roman"/>
                    </w:rPr>
                    <w:t xml:space="preserve"> местного</w:t>
                  </w:r>
                  <w:r w:rsidR="00D51C02">
                    <w:rPr>
                      <w:rFonts w:ascii="Times New Roman" w:hAnsi="Times New Roman" w:cs="Times New Roman"/>
                    </w:rPr>
                    <w:t xml:space="preserve"> самоуправлении. Регламентом работы </w:t>
                  </w:r>
                  <w:r w:rsidR="00972C4E">
                    <w:rPr>
                      <w:rFonts w:ascii="Times New Roman" w:hAnsi="Times New Roman" w:cs="Times New Roman"/>
                    </w:rPr>
                    <w:t>Администрации</w:t>
                  </w:r>
                  <w:r w:rsidR="00112A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1C02">
                    <w:rPr>
                      <w:rFonts w:ascii="Times New Roman" w:hAnsi="Times New Roman" w:cs="Times New Roman"/>
                    </w:rPr>
                    <w:t>Кривошеинского района .</w:t>
                  </w:r>
                  <w:r w:rsidR="00683EBC">
                    <w:rPr>
                      <w:rFonts w:ascii="Times New Roman" w:hAnsi="Times New Roman" w:cs="Times New Roman"/>
                    </w:rPr>
                    <w:t xml:space="preserve"> Для реализации  прав</w:t>
                  </w:r>
                </w:p>
                <w:p w:rsidR="00132A97" w:rsidRPr="008C5F54" w:rsidRDefault="00132A97" w:rsidP="00C668D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668DD" w:rsidRPr="008C5F54" w:rsidRDefault="00C668DD"/>
              </w:txbxContent>
            </v:textbox>
          </v:rect>
        </w:pict>
      </w:r>
      <w:r w:rsidR="00972C4E" w:rsidRPr="00972C4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35754" cy="1979569"/>
            <wp:effectExtent l="19050" t="0" r="0" b="0"/>
            <wp:docPr id="1" name="Рисунок 13" descr="об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969" cy="19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AE" w:rsidRDefault="003266AE" w:rsidP="0032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572" w:rsidRDefault="003266AE" w:rsidP="000A52B4">
      <w:pPr>
        <w:spacing w:after="0"/>
        <w:jc w:val="both"/>
        <w:rPr>
          <w:rFonts w:ascii="Times New Roman" w:hAnsi="Times New Roman" w:cs="Times New Roman"/>
        </w:rPr>
      </w:pPr>
      <w:r w:rsidRPr="008C5F54">
        <w:rPr>
          <w:rFonts w:ascii="Times New Roman" w:hAnsi="Times New Roman" w:cs="Times New Roman"/>
        </w:rPr>
        <w:t xml:space="preserve">  </w:t>
      </w:r>
      <w:r w:rsidR="000A52B4">
        <w:rPr>
          <w:rFonts w:ascii="Times New Roman" w:hAnsi="Times New Roman" w:cs="Times New Roman"/>
        </w:rPr>
        <w:t>необходимые условия.</w:t>
      </w:r>
      <w:r w:rsidR="0006701E">
        <w:rPr>
          <w:rFonts w:ascii="Times New Roman" w:hAnsi="Times New Roman" w:cs="Times New Roman"/>
        </w:rPr>
        <w:t xml:space="preserve"> </w:t>
      </w:r>
      <w:r w:rsidR="00F039BC">
        <w:rPr>
          <w:rFonts w:ascii="Times New Roman" w:hAnsi="Times New Roman" w:cs="Times New Roman"/>
        </w:rPr>
        <w:t>В 2019</w:t>
      </w:r>
      <w:r w:rsidRPr="008C5F54">
        <w:rPr>
          <w:rFonts w:ascii="Times New Roman" w:hAnsi="Times New Roman" w:cs="Times New Roman"/>
        </w:rPr>
        <w:t xml:space="preserve"> году в Администрацию Кривошеинского района поступило </w:t>
      </w:r>
      <w:r w:rsidR="00BA3A89">
        <w:rPr>
          <w:rFonts w:ascii="Times New Roman" w:hAnsi="Times New Roman" w:cs="Times New Roman"/>
        </w:rPr>
        <w:t xml:space="preserve">84 </w:t>
      </w:r>
      <w:r w:rsidR="0006701E">
        <w:rPr>
          <w:rFonts w:ascii="Times New Roman" w:hAnsi="Times New Roman" w:cs="Times New Roman"/>
        </w:rPr>
        <w:t xml:space="preserve">   </w:t>
      </w:r>
      <w:r w:rsidRPr="008C5F54">
        <w:rPr>
          <w:rFonts w:ascii="Times New Roman" w:hAnsi="Times New Roman" w:cs="Times New Roman"/>
        </w:rPr>
        <w:t>письменных обращений</w:t>
      </w:r>
      <w:r w:rsidR="00F039BC">
        <w:rPr>
          <w:rFonts w:ascii="Times New Roman" w:hAnsi="Times New Roman" w:cs="Times New Roman"/>
        </w:rPr>
        <w:t>, что на 14</w:t>
      </w:r>
      <w:r w:rsidR="008C5F54" w:rsidRPr="008C5F54">
        <w:rPr>
          <w:rFonts w:ascii="Times New Roman" w:hAnsi="Times New Roman" w:cs="Times New Roman"/>
        </w:rPr>
        <w:t xml:space="preserve"> </w:t>
      </w:r>
      <w:r w:rsidR="00BA3A89" w:rsidRPr="008C5F54">
        <w:rPr>
          <w:rFonts w:ascii="Times New Roman" w:hAnsi="Times New Roman" w:cs="Times New Roman"/>
        </w:rPr>
        <w:t xml:space="preserve">обращений </w:t>
      </w:r>
      <w:r w:rsidR="008C5F54" w:rsidRPr="008C5F54">
        <w:rPr>
          <w:rFonts w:ascii="Times New Roman" w:hAnsi="Times New Roman" w:cs="Times New Roman"/>
        </w:rPr>
        <w:t>меньше</w:t>
      </w:r>
      <w:r w:rsidR="00BA3A89">
        <w:rPr>
          <w:rFonts w:ascii="Times New Roman" w:hAnsi="Times New Roman" w:cs="Times New Roman"/>
        </w:rPr>
        <w:t>, чем в</w:t>
      </w:r>
      <w:r w:rsidR="008C5F54" w:rsidRPr="008C5F54">
        <w:rPr>
          <w:rFonts w:ascii="Times New Roman" w:hAnsi="Times New Roman" w:cs="Times New Roman"/>
        </w:rPr>
        <w:t xml:space="preserve">  201</w:t>
      </w:r>
      <w:r w:rsidR="00F039BC">
        <w:rPr>
          <w:rFonts w:ascii="Times New Roman" w:hAnsi="Times New Roman" w:cs="Times New Roman"/>
        </w:rPr>
        <w:t>8</w:t>
      </w:r>
      <w:r w:rsidR="00BA3A89">
        <w:rPr>
          <w:rFonts w:ascii="Times New Roman" w:hAnsi="Times New Roman" w:cs="Times New Roman"/>
        </w:rPr>
        <w:t xml:space="preserve"> году</w:t>
      </w:r>
      <w:r w:rsidR="008C5F54">
        <w:rPr>
          <w:rFonts w:ascii="Times New Roman" w:hAnsi="Times New Roman" w:cs="Times New Roman"/>
          <w:b/>
        </w:rPr>
        <w:t>.</w:t>
      </w:r>
      <w:r w:rsidR="003E0D5C" w:rsidRPr="008C5F54">
        <w:rPr>
          <w:rFonts w:ascii="Times New Roman" w:hAnsi="Times New Roman" w:cs="Times New Roman"/>
          <w:b/>
        </w:rPr>
        <w:t xml:space="preserve"> </w:t>
      </w:r>
      <w:r w:rsidR="00112A0C" w:rsidRPr="00112A0C">
        <w:rPr>
          <w:rFonts w:ascii="Times New Roman" w:hAnsi="Times New Roman" w:cs="Times New Roman"/>
        </w:rPr>
        <w:t>С</w:t>
      </w:r>
      <w:r w:rsidR="00850310" w:rsidRPr="00850310">
        <w:rPr>
          <w:rFonts w:ascii="Times New Roman" w:hAnsi="Times New Roman" w:cs="Times New Roman"/>
        </w:rPr>
        <w:t>охраняется тенденция</w:t>
      </w:r>
      <w:r w:rsidR="00F039BC" w:rsidRPr="00850310">
        <w:rPr>
          <w:rFonts w:ascii="Times New Roman" w:hAnsi="Times New Roman" w:cs="Times New Roman"/>
        </w:rPr>
        <w:t>,</w:t>
      </w:r>
      <w:r w:rsidR="00850310" w:rsidRPr="00850310">
        <w:rPr>
          <w:rFonts w:ascii="Times New Roman" w:hAnsi="Times New Roman" w:cs="Times New Roman"/>
        </w:rPr>
        <w:t xml:space="preserve"> </w:t>
      </w:r>
      <w:r w:rsidR="00F039BC" w:rsidRPr="00850310">
        <w:rPr>
          <w:rFonts w:ascii="Times New Roman" w:hAnsi="Times New Roman" w:cs="Times New Roman"/>
        </w:rPr>
        <w:t xml:space="preserve">когда </w:t>
      </w:r>
      <w:r w:rsidR="00BA3A89">
        <w:rPr>
          <w:rFonts w:ascii="Times New Roman" w:hAnsi="Times New Roman" w:cs="Times New Roman"/>
        </w:rPr>
        <w:t xml:space="preserve">граждане </w:t>
      </w:r>
      <w:r w:rsidR="00F039BC" w:rsidRPr="00850310">
        <w:rPr>
          <w:rFonts w:ascii="Times New Roman" w:hAnsi="Times New Roman" w:cs="Times New Roman"/>
        </w:rPr>
        <w:t>обраща</w:t>
      </w:r>
      <w:r w:rsidR="00BA3A89">
        <w:rPr>
          <w:rFonts w:ascii="Times New Roman" w:hAnsi="Times New Roman" w:cs="Times New Roman"/>
        </w:rPr>
        <w:t>ются</w:t>
      </w:r>
      <w:r w:rsidR="00F039BC" w:rsidRPr="00850310">
        <w:rPr>
          <w:rFonts w:ascii="Times New Roman" w:hAnsi="Times New Roman" w:cs="Times New Roman"/>
        </w:rPr>
        <w:t xml:space="preserve"> с жалобами и заявлениями в различные инстанции без учета их полномочий и компетенции</w:t>
      </w:r>
      <w:r w:rsidR="00850310" w:rsidRPr="00850310">
        <w:rPr>
          <w:rFonts w:ascii="Times New Roman" w:hAnsi="Times New Roman" w:cs="Times New Roman"/>
        </w:rPr>
        <w:t xml:space="preserve">. </w:t>
      </w:r>
      <w:r w:rsidR="003E0D5C" w:rsidRPr="008C5F54">
        <w:rPr>
          <w:rFonts w:ascii="Times New Roman" w:hAnsi="Times New Roman" w:cs="Times New Roman"/>
        </w:rPr>
        <w:t>Так 201</w:t>
      </w:r>
      <w:r w:rsidR="00850310">
        <w:rPr>
          <w:rFonts w:ascii="Times New Roman" w:hAnsi="Times New Roman" w:cs="Times New Roman"/>
        </w:rPr>
        <w:t>9</w:t>
      </w:r>
      <w:r w:rsidRPr="008C5F54">
        <w:rPr>
          <w:rFonts w:ascii="Times New Roman" w:hAnsi="Times New Roman" w:cs="Times New Roman"/>
        </w:rPr>
        <w:t xml:space="preserve"> году </w:t>
      </w:r>
      <w:r w:rsidR="00BA3A89" w:rsidRPr="008C5F54">
        <w:rPr>
          <w:rFonts w:ascii="Times New Roman" w:hAnsi="Times New Roman" w:cs="Times New Roman"/>
        </w:rPr>
        <w:t xml:space="preserve">непосредственно в Администрацию Кривошеинского района </w:t>
      </w:r>
      <w:r w:rsidR="00BA3A89">
        <w:rPr>
          <w:rFonts w:ascii="Times New Roman" w:hAnsi="Times New Roman" w:cs="Times New Roman"/>
        </w:rPr>
        <w:t xml:space="preserve">поступило 62 </w:t>
      </w:r>
      <w:r w:rsidRPr="008C5F54">
        <w:rPr>
          <w:rFonts w:ascii="Times New Roman" w:hAnsi="Times New Roman" w:cs="Times New Roman"/>
        </w:rPr>
        <w:t>письменных обращени</w:t>
      </w:r>
      <w:r w:rsidR="00BA3A89">
        <w:rPr>
          <w:rFonts w:ascii="Times New Roman" w:hAnsi="Times New Roman" w:cs="Times New Roman"/>
        </w:rPr>
        <w:t>я</w:t>
      </w:r>
      <w:r w:rsidRPr="008C5F54">
        <w:rPr>
          <w:rFonts w:ascii="Times New Roman" w:hAnsi="Times New Roman" w:cs="Times New Roman"/>
        </w:rPr>
        <w:t xml:space="preserve">, перенаправлено из Аппарата Президента Российской Федерации - </w:t>
      </w:r>
      <w:r w:rsidR="00850310">
        <w:rPr>
          <w:rFonts w:ascii="Times New Roman" w:hAnsi="Times New Roman" w:cs="Times New Roman"/>
        </w:rPr>
        <w:t>12</w:t>
      </w:r>
      <w:r w:rsidRPr="008C5F54">
        <w:rPr>
          <w:rFonts w:ascii="Times New Roman" w:hAnsi="Times New Roman" w:cs="Times New Roman"/>
        </w:rPr>
        <w:t xml:space="preserve">,  из Администрации Томской области – </w:t>
      </w:r>
      <w:r w:rsidR="00850310">
        <w:rPr>
          <w:rFonts w:ascii="Times New Roman" w:hAnsi="Times New Roman" w:cs="Times New Roman"/>
        </w:rPr>
        <w:t>10</w:t>
      </w:r>
      <w:r w:rsidRPr="008C5F54">
        <w:rPr>
          <w:rFonts w:ascii="Times New Roman" w:hAnsi="Times New Roman" w:cs="Times New Roman"/>
          <w:b/>
        </w:rPr>
        <w:t>.</w:t>
      </w:r>
      <w:r w:rsidR="00676572" w:rsidRPr="00676572">
        <w:rPr>
          <w:rFonts w:ascii="Times New Roman" w:hAnsi="Times New Roman" w:cs="Times New Roman"/>
        </w:rPr>
        <w:t xml:space="preserve"> </w:t>
      </w:r>
    </w:p>
    <w:p w:rsidR="00676572" w:rsidRDefault="00676572" w:rsidP="006765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C5F54">
        <w:rPr>
          <w:rFonts w:ascii="Times New Roman" w:hAnsi="Times New Roman" w:cs="Times New Roman"/>
        </w:rPr>
        <w:t xml:space="preserve">Еженедельно Главой Администрации Кривошеинского района  проводится личный прием граждан. По итогам личного приема - </w:t>
      </w:r>
      <w:r>
        <w:rPr>
          <w:rFonts w:ascii="Times New Roman" w:hAnsi="Times New Roman" w:cs="Times New Roman"/>
          <w:b/>
        </w:rPr>
        <w:t>11</w:t>
      </w:r>
      <w:r w:rsidRPr="008C5F54">
        <w:rPr>
          <w:rFonts w:ascii="Times New Roman" w:hAnsi="Times New Roman" w:cs="Times New Roman"/>
          <w:b/>
        </w:rPr>
        <w:t xml:space="preserve"> </w:t>
      </w:r>
      <w:r w:rsidRPr="008C5F54">
        <w:rPr>
          <w:rFonts w:ascii="Times New Roman" w:hAnsi="Times New Roman" w:cs="Times New Roman"/>
        </w:rPr>
        <w:t>карточек приема граждан приняты на рассмотрение. Через онлайн приемную</w:t>
      </w:r>
      <w:r w:rsidR="00BA3A89">
        <w:rPr>
          <w:rFonts w:ascii="Times New Roman" w:hAnsi="Times New Roman" w:cs="Times New Roman"/>
        </w:rPr>
        <w:t xml:space="preserve"> на сайт</w:t>
      </w:r>
      <w:r w:rsidR="00926B88">
        <w:rPr>
          <w:rFonts w:ascii="Times New Roman" w:hAnsi="Times New Roman" w:cs="Times New Roman"/>
        </w:rPr>
        <w:t>е</w:t>
      </w:r>
      <w:r w:rsidR="00BA3A89">
        <w:rPr>
          <w:rFonts w:ascii="Times New Roman" w:hAnsi="Times New Roman" w:cs="Times New Roman"/>
        </w:rPr>
        <w:t xml:space="preserve"> муниципального образования Кривошеинский район </w:t>
      </w:r>
      <w:r w:rsidRPr="008C5F54">
        <w:rPr>
          <w:rFonts w:ascii="Times New Roman" w:hAnsi="Times New Roman" w:cs="Times New Roman"/>
        </w:rPr>
        <w:t xml:space="preserve"> на имя Главы района поступило – </w:t>
      </w:r>
      <w:r>
        <w:rPr>
          <w:rFonts w:ascii="Times New Roman" w:hAnsi="Times New Roman" w:cs="Times New Roman"/>
        </w:rPr>
        <w:t>13</w:t>
      </w:r>
      <w:r w:rsidRPr="008C5F54">
        <w:rPr>
          <w:rFonts w:ascii="Times New Roman" w:hAnsi="Times New Roman" w:cs="Times New Roman"/>
          <w:b/>
        </w:rPr>
        <w:t xml:space="preserve"> </w:t>
      </w:r>
      <w:r w:rsidRPr="008C5F54">
        <w:rPr>
          <w:rFonts w:ascii="Times New Roman" w:hAnsi="Times New Roman" w:cs="Times New Roman"/>
        </w:rPr>
        <w:t>обращений.</w:t>
      </w:r>
    </w:p>
    <w:p w:rsidR="00676572" w:rsidRDefault="00676572" w:rsidP="0067657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76572" w:rsidRPr="003147FC" w:rsidRDefault="00676572" w:rsidP="006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47FC">
        <w:rPr>
          <w:rFonts w:ascii="Times New Roman" w:hAnsi="Times New Roman" w:cs="Times New Roman"/>
          <w:b/>
          <w:sz w:val="28"/>
          <w:szCs w:val="28"/>
        </w:rPr>
        <w:t>Количество обращений граждан, поступивших в</w:t>
      </w:r>
    </w:p>
    <w:p w:rsidR="00676572" w:rsidRPr="003147FC" w:rsidRDefault="00676572" w:rsidP="006765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FC">
        <w:rPr>
          <w:rFonts w:ascii="Times New Roman" w:hAnsi="Times New Roman" w:cs="Times New Roman"/>
          <w:b/>
          <w:sz w:val="28"/>
          <w:szCs w:val="28"/>
        </w:rPr>
        <w:t>Администрацию Кривошеинского района за 2017-2019</w:t>
      </w:r>
    </w:p>
    <w:p w:rsidR="00676572" w:rsidRPr="008C5F54" w:rsidRDefault="00676572" w:rsidP="0067657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676572" w:rsidRDefault="00676572" w:rsidP="00112A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76572" w:rsidRDefault="00676572" w:rsidP="00112A0C">
      <w:pPr>
        <w:spacing w:after="0"/>
        <w:jc w:val="both"/>
        <w:rPr>
          <w:rFonts w:ascii="Times New Roman" w:hAnsi="Times New Roman" w:cs="Times New Roman"/>
          <w:b/>
        </w:rPr>
      </w:pPr>
      <w:r w:rsidRPr="0067657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8741" cy="3196424"/>
            <wp:effectExtent l="19050" t="0" r="23909" b="3976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5B48" w:rsidRDefault="00E95B48" w:rsidP="00112A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762056" w:rsidRDefault="0096398C" w:rsidP="00762056">
      <w:pPr>
        <w:spacing w:after="0"/>
        <w:jc w:val="both"/>
        <w:rPr>
          <w:rFonts w:ascii="Times New Roman" w:hAnsi="Times New Roman" w:cs="Times New Roman"/>
        </w:rPr>
      </w:pPr>
      <w:r w:rsidRPr="0070273A">
        <w:rPr>
          <w:rFonts w:ascii="Times New Roman" w:hAnsi="Times New Roman" w:cs="Times New Roman"/>
        </w:rPr>
        <w:t xml:space="preserve">          </w:t>
      </w:r>
      <w:r w:rsidR="00E95B48" w:rsidRPr="0070273A">
        <w:rPr>
          <w:rFonts w:ascii="Times New Roman" w:hAnsi="Times New Roman" w:cs="Times New Roman"/>
        </w:rPr>
        <w:t>Анализ поступивших в 2019 году обращений показывает, что по – прежнему самыми острыми и многочисленными остаются проблемы жилищно-коммунальной сферы</w:t>
      </w:r>
      <w:r w:rsidR="00975817" w:rsidRPr="0070273A">
        <w:rPr>
          <w:rFonts w:ascii="Times New Roman" w:hAnsi="Times New Roman" w:cs="Times New Roman"/>
        </w:rPr>
        <w:t>-</w:t>
      </w:r>
      <w:r w:rsidRPr="0070273A">
        <w:rPr>
          <w:rFonts w:ascii="Times New Roman" w:hAnsi="Times New Roman" w:cs="Times New Roman"/>
        </w:rPr>
        <w:t xml:space="preserve"> </w:t>
      </w:r>
      <w:r w:rsidR="00E95B48" w:rsidRPr="0070273A">
        <w:rPr>
          <w:rFonts w:ascii="Times New Roman" w:hAnsi="Times New Roman" w:cs="Times New Roman"/>
        </w:rPr>
        <w:t xml:space="preserve">44 </w:t>
      </w:r>
      <w:r w:rsidR="00975817" w:rsidRPr="0070273A">
        <w:rPr>
          <w:rFonts w:ascii="Times New Roman" w:hAnsi="Times New Roman" w:cs="Times New Roman"/>
        </w:rPr>
        <w:t>обращений,</w:t>
      </w:r>
      <w:r w:rsidR="00E95B48" w:rsidRPr="0070273A">
        <w:rPr>
          <w:rFonts w:ascii="Times New Roman" w:hAnsi="Times New Roman" w:cs="Times New Roman"/>
        </w:rPr>
        <w:t xml:space="preserve"> социальной сферы-</w:t>
      </w:r>
      <w:r w:rsidRPr="0070273A">
        <w:rPr>
          <w:rFonts w:ascii="Times New Roman" w:hAnsi="Times New Roman" w:cs="Times New Roman"/>
        </w:rPr>
        <w:t xml:space="preserve"> </w:t>
      </w:r>
      <w:r w:rsidR="00E95B48" w:rsidRPr="0070273A">
        <w:rPr>
          <w:rFonts w:ascii="Times New Roman" w:hAnsi="Times New Roman" w:cs="Times New Roman"/>
        </w:rPr>
        <w:t>25,</w:t>
      </w:r>
      <w:r w:rsidR="00975817" w:rsidRPr="0070273A">
        <w:rPr>
          <w:rFonts w:ascii="Times New Roman" w:hAnsi="Times New Roman" w:cs="Times New Roman"/>
        </w:rPr>
        <w:t xml:space="preserve">  </w:t>
      </w:r>
      <w:r w:rsidR="00E95B48" w:rsidRPr="0070273A">
        <w:rPr>
          <w:rFonts w:ascii="Times New Roman" w:hAnsi="Times New Roman" w:cs="Times New Roman"/>
        </w:rPr>
        <w:t xml:space="preserve">иные сферы </w:t>
      </w:r>
      <w:r w:rsidR="00975817" w:rsidRPr="0070273A">
        <w:rPr>
          <w:rFonts w:ascii="Times New Roman" w:hAnsi="Times New Roman" w:cs="Times New Roman"/>
        </w:rPr>
        <w:t>-15 обращений</w:t>
      </w:r>
      <w:r w:rsidR="00762056">
        <w:rPr>
          <w:rFonts w:ascii="Times New Roman" w:hAnsi="Times New Roman" w:cs="Times New Roman"/>
        </w:rPr>
        <w:t>.</w:t>
      </w:r>
    </w:p>
    <w:p w:rsidR="0096398C" w:rsidRPr="0070273A" w:rsidRDefault="00762056" w:rsidP="007620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E64542" w:rsidRPr="0070273A">
        <w:rPr>
          <w:rFonts w:ascii="Times New Roman" w:hAnsi="Times New Roman" w:cs="Times New Roman"/>
        </w:rPr>
        <w:t>В обращениях жителями района затрагивались вопросы, связанные с</w:t>
      </w:r>
      <w:r w:rsidR="006B29DF" w:rsidRPr="0070273A">
        <w:rPr>
          <w:rFonts w:ascii="Times New Roman" w:hAnsi="Times New Roman" w:cs="Times New Roman"/>
        </w:rPr>
        <w:t xml:space="preserve"> </w:t>
      </w:r>
      <w:r w:rsidR="007439C9" w:rsidRPr="0070273A">
        <w:rPr>
          <w:rFonts w:ascii="Times New Roman" w:hAnsi="Times New Roman" w:cs="Times New Roman"/>
        </w:rPr>
        <w:t>обеспечением</w:t>
      </w:r>
      <w:r w:rsidR="006B29DF" w:rsidRPr="0070273A">
        <w:rPr>
          <w:rFonts w:ascii="Times New Roman" w:hAnsi="Times New Roman" w:cs="Times New Roman"/>
        </w:rPr>
        <w:t xml:space="preserve"> жилы</w:t>
      </w:r>
      <w:r w:rsidR="007439C9" w:rsidRPr="0070273A">
        <w:rPr>
          <w:rFonts w:ascii="Times New Roman" w:hAnsi="Times New Roman" w:cs="Times New Roman"/>
        </w:rPr>
        <w:t xml:space="preserve">ми </w:t>
      </w:r>
      <w:r w:rsidR="006B29DF" w:rsidRPr="0070273A">
        <w:rPr>
          <w:rFonts w:ascii="Times New Roman" w:hAnsi="Times New Roman" w:cs="Times New Roman"/>
        </w:rPr>
        <w:t>помещени</w:t>
      </w:r>
      <w:r w:rsidR="007439C9" w:rsidRPr="0070273A">
        <w:rPr>
          <w:rFonts w:ascii="Times New Roman" w:hAnsi="Times New Roman" w:cs="Times New Roman"/>
        </w:rPr>
        <w:t>ями</w:t>
      </w:r>
      <w:r w:rsidR="00F613B9" w:rsidRPr="0070273A">
        <w:rPr>
          <w:rFonts w:ascii="Times New Roman" w:hAnsi="Times New Roman" w:cs="Times New Roman"/>
        </w:rPr>
        <w:t xml:space="preserve">, </w:t>
      </w:r>
      <w:r w:rsidR="007439C9" w:rsidRPr="0070273A">
        <w:rPr>
          <w:rFonts w:ascii="Times New Roman" w:hAnsi="Times New Roman" w:cs="Times New Roman"/>
        </w:rPr>
        <w:t xml:space="preserve">капитальный </w:t>
      </w:r>
      <w:r w:rsidR="00F613B9" w:rsidRPr="0070273A">
        <w:rPr>
          <w:rFonts w:ascii="Times New Roman" w:hAnsi="Times New Roman" w:cs="Times New Roman"/>
        </w:rPr>
        <w:t>р</w:t>
      </w:r>
      <w:r w:rsidR="006B29DF" w:rsidRPr="0070273A">
        <w:rPr>
          <w:rFonts w:ascii="Times New Roman" w:hAnsi="Times New Roman" w:cs="Times New Roman"/>
        </w:rPr>
        <w:t>емонт жилья</w:t>
      </w:r>
      <w:r w:rsidR="007439C9" w:rsidRPr="0070273A">
        <w:rPr>
          <w:rFonts w:ascii="Times New Roman" w:hAnsi="Times New Roman" w:cs="Times New Roman"/>
        </w:rPr>
        <w:t xml:space="preserve"> и  благоустройство придомовой территории, содержание дорог местного значения</w:t>
      </w:r>
      <w:r w:rsidR="00F613B9" w:rsidRPr="0070273A">
        <w:rPr>
          <w:rFonts w:ascii="Times New Roman" w:hAnsi="Times New Roman" w:cs="Times New Roman"/>
        </w:rPr>
        <w:t>;</w:t>
      </w:r>
      <w:r w:rsidR="00501866" w:rsidRPr="0070273A">
        <w:rPr>
          <w:rFonts w:ascii="Times New Roman" w:hAnsi="Times New Roman" w:cs="Times New Roman"/>
        </w:rPr>
        <w:t xml:space="preserve"> </w:t>
      </w:r>
      <w:r w:rsidR="006B29DF" w:rsidRPr="0070273A">
        <w:rPr>
          <w:rFonts w:ascii="Times New Roman" w:hAnsi="Times New Roman" w:cs="Times New Roman"/>
        </w:rPr>
        <w:t>соотношение качества и стоимост</w:t>
      </w:r>
      <w:r w:rsidR="007439C9" w:rsidRPr="0070273A">
        <w:rPr>
          <w:rFonts w:ascii="Times New Roman" w:hAnsi="Times New Roman" w:cs="Times New Roman"/>
        </w:rPr>
        <w:t>и</w:t>
      </w:r>
      <w:r w:rsidR="006B29DF" w:rsidRPr="0070273A">
        <w:rPr>
          <w:rFonts w:ascii="Times New Roman" w:hAnsi="Times New Roman" w:cs="Times New Roman"/>
        </w:rPr>
        <w:t xml:space="preserve"> услуг в сфере ЖКХ</w:t>
      </w:r>
      <w:r w:rsidR="0096398C" w:rsidRPr="0070273A">
        <w:rPr>
          <w:rFonts w:ascii="Times New Roman" w:hAnsi="Times New Roman" w:cs="Times New Roman"/>
        </w:rPr>
        <w:t xml:space="preserve"> </w:t>
      </w:r>
      <w:r w:rsidR="006B29DF" w:rsidRPr="0070273A">
        <w:rPr>
          <w:rFonts w:ascii="Times New Roman" w:hAnsi="Times New Roman" w:cs="Times New Roman"/>
        </w:rPr>
        <w:t>-</w:t>
      </w:r>
      <w:r w:rsidR="00926B88" w:rsidRPr="0070273A">
        <w:rPr>
          <w:rFonts w:ascii="Times New Roman" w:hAnsi="Times New Roman" w:cs="Times New Roman"/>
        </w:rPr>
        <w:t xml:space="preserve"> </w:t>
      </w:r>
      <w:r w:rsidR="006B29DF" w:rsidRPr="0070273A">
        <w:rPr>
          <w:rFonts w:ascii="Times New Roman" w:hAnsi="Times New Roman" w:cs="Times New Roman"/>
        </w:rPr>
        <w:t>эти вопросы продолжают доминировать в обращениях жителей</w:t>
      </w:r>
      <w:r w:rsidR="00501866" w:rsidRPr="0070273A">
        <w:rPr>
          <w:rFonts w:ascii="Times New Roman" w:hAnsi="Times New Roman" w:cs="Times New Roman"/>
        </w:rPr>
        <w:t xml:space="preserve"> Кривошеинского района. В центре внимания продолжают </w:t>
      </w:r>
      <w:r w:rsidR="00926B88" w:rsidRPr="0070273A">
        <w:rPr>
          <w:rFonts w:ascii="Times New Roman" w:hAnsi="Times New Roman" w:cs="Times New Roman"/>
        </w:rPr>
        <w:t>находиться</w:t>
      </w:r>
      <w:r w:rsidR="00501866" w:rsidRPr="0070273A">
        <w:rPr>
          <w:rFonts w:ascii="Times New Roman" w:hAnsi="Times New Roman" w:cs="Times New Roman"/>
        </w:rPr>
        <w:t xml:space="preserve"> вопросы газификации домовладений</w:t>
      </w:r>
      <w:r>
        <w:rPr>
          <w:rFonts w:ascii="Times New Roman" w:hAnsi="Times New Roman" w:cs="Times New Roman"/>
        </w:rPr>
        <w:t>. О</w:t>
      </w:r>
      <w:r w:rsidR="00501866" w:rsidRPr="0070273A">
        <w:rPr>
          <w:rFonts w:ascii="Times New Roman" w:hAnsi="Times New Roman" w:cs="Times New Roman"/>
        </w:rPr>
        <w:t xml:space="preserve">сновная часть обращений социального блока связана с </w:t>
      </w:r>
      <w:r w:rsidR="00036C2C" w:rsidRPr="0070273A">
        <w:rPr>
          <w:rFonts w:ascii="Times New Roman" w:hAnsi="Times New Roman" w:cs="Times New Roman"/>
        </w:rPr>
        <w:t>просьбами</w:t>
      </w:r>
      <w:r w:rsidR="00501866" w:rsidRPr="0070273A">
        <w:rPr>
          <w:rFonts w:ascii="Times New Roman" w:hAnsi="Times New Roman" w:cs="Times New Roman"/>
        </w:rPr>
        <w:t xml:space="preserve"> об </w:t>
      </w:r>
      <w:r w:rsidR="00036C2C" w:rsidRPr="0070273A">
        <w:rPr>
          <w:rFonts w:ascii="Times New Roman" w:hAnsi="Times New Roman" w:cs="Times New Roman"/>
        </w:rPr>
        <w:t>о</w:t>
      </w:r>
      <w:r w:rsidR="00501866" w:rsidRPr="0070273A">
        <w:rPr>
          <w:rFonts w:ascii="Times New Roman" w:hAnsi="Times New Roman" w:cs="Times New Roman"/>
        </w:rPr>
        <w:t>казании</w:t>
      </w:r>
      <w:r w:rsidR="00036C2C" w:rsidRPr="0070273A">
        <w:rPr>
          <w:rFonts w:ascii="Times New Roman" w:hAnsi="Times New Roman" w:cs="Times New Roman"/>
        </w:rPr>
        <w:t xml:space="preserve"> материальной помощи</w:t>
      </w:r>
      <w:r w:rsidR="0070273A" w:rsidRPr="0070273A">
        <w:rPr>
          <w:rFonts w:ascii="Times New Roman" w:hAnsi="Times New Roman" w:cs="Times New Roman"/>
        </w:rPr>
        <w:t>.</w:t>
      </w:r>
    </w:p>
    <w:p w:rsidR="00DB2EFD" w:rsidRDefault="0096398C" w:rsidP="009639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01866" w:rsidRPr="00036C2C">
        <w:rPr>
          <w:rFonts w:ascii="Times New Roman" w:hAnsi="Times New Roman" w:cs="Times New Roman"/>
        </w:rPr>
        <w:t xml:space="preserve"> </w:t>
      </w:r>
    </w:p>
    <w:p w:rsidR="0096398C" w:rsidRDefault="00DB2EFD" w:rsidP="009639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="0096398C" w:rsidRPr="003147FC">
        <w:rPr>
          <w:rFonts w:ascii="Times New Roman" w:hAnsi="Times New Roman" w:cs="Times New Roman"/>
          <w:b/>
          <w:sz w:val="28"/>
          <w:szCs w:val="28"/>
        </w:rPr>
        <w:t xml:space="preserve">Динамика по видам обращений 2017-2019 год. </w:t>
      </w:r>
    </w:p>
    <w:p w:rsidR="0096398C" w:rsidRPr="003147FC" w:rsidRDefault="0096398C" w:rsidP="009639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98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60331" cy="2631882"/>
            <wp:effectExtent l="19050" t="0" r="21369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2EFD" w:rsidRDefault="0096398C" w:rsidP="00762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DB2EFD" w:rsidRDefault="00DB2EFD" w:rsidP="00762056">
      <w:pPr>
        <w:jc w:val="both"/>
        <w:rPr>
          <w:rFonts w:ascii="Times New Roman" w:hAnsi="Times New Roman" w:cs="Times New Roman"/>
        </w:rPr>
      </w:pPr>
    </w:p>
    <w:p w:rsidR="00224150" w:rsidRPr="00762056" w:rsidRDefault="00DB2EFD" w:rsidP="00B07A2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96398C">
        <w:rPr>
          <w:rFonts w:ascii="Times New Roman" w:hAnsi="Times New Roman" w:cs="Times New Roman"/>
        </w:rPr>
        <w:t xml:space="preserve"> </w:t>
      </w:r>
      <w:r w:rsidR="008739EF">
        <w:rPr>
          <w:rFonts w:ascii="Times New Roman" w:hAnsi="Times New Roman" w:cs="Times New Roman"/>
        </w:rPr>
        <w:t>С</w:t>
      </w:r>
      <w:r w:rsidR="008739EF" w:rsidRPr="009C0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реди заявителей, </w:t>
      </w:r>
      <w:r w:rsidR="008739EF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обратившихся в Администрацию Кривошеинского района в 2019</w:t>
      </w:r>
      <w:r w:rsidR="008739EF" w:rsidRPr="009C0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8739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39EF" w:rsidRPr="009C0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всего</w:t>
      </w:r>
      <w:r w:rsidR="008739EF" w:rsidRPr="00FB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 поступило от работающих граждан </w:t>
      </w:r>
      <w:r w:rsidR="008739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8739EF" w:rsidRPr="00FB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9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25, </w:t>
      </w:r>
      <w:r w:rsidR="008739EF" w:rsidRPr="008739EF">
        <w:rPr>
          <w:rFonts w:ascii="Times New Roman" w:hAnsi="Times New Roman" w:cs="Times New Roman"/>
          <w:color w:val="000000" w:themeColor="text1"/>
          <w:sz w:val="24"/>
          <w:szCs w:val="24"/>
        </w:rPr>
        <w:t>от  пенсионеров</w:t>
      </w:r>
      <w:r w:rsidR="00873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9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-14</w:t>
      </w:r>
      <w:r w:rsidR="008739EF" w:rsidRPr="009C05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739EF" w:rsidRPr="00FB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739EF" w:rsidRPr="00FB0508">
        <w:rPr>
          <w:rFonts w:ascii="Times New Roman" w:hAnsi="Times New Roman" w:cs="Times New Roman"/>
          <w:color w:val="000000" w:themeColor="text1"/>
          <w:sz w:val="24"/>
          <w:szCs w:val="24"/>
        </w:rPr>
        <w:t>безработны</w:t>
      </w:r>
      <w:r w:rsidR="008739E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8739EF" w:rsidRPr="009C05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739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8739EF" w:rsidRPr="00FB0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39EF" w:rsidRPr="00FB0508">
        <w:rPr>
          <w:rFonts w:ascii="Times New Roman" w:hAnsi="Times New Roman" w:cs="Times New Roman"/>
          <w:color w:val="000000" w:themeColor="text1"/>
          <w:sz w:val="24"/>
          <w:szCs w:val="24"/>
        </w:rPr>
        <w:t>и ины</w:t>
      </w:r>
      <w:r w:rsidR="008739E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8739EF" w:rsidRPr="00FB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</w:t>
      </w:r>
      <w:r w:rsidR="00873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- </w:t>
      </w:r>
      <w:r w:rsidR="008739EF" w:rsidRPr="00EF3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8739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62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66AE" w:rsidRPr="00F613B9">
        <w:rPr>
          <w:rFonts w:ascii="Times New Roman" w:hAnsi="Times New Roman" w:cs="Times New Roman"/>
          <w:sz w:val="24"/>
          <w:szCs w:val="24"/>
        </w:rPr>
        <w:t xml:space="preserve"> Администрации района используется форма рассмотрения обращений </w:t>
      </w:r>
      <w:r w:rsidR="00926B88" w:rsidRPr="00F613B9">
        <w:rPr>
          <w:rFonts w:ascii="Times New Roman" w:hAnsi="Times New Roman" w:cs="Times New Roman"/>
          <w:sz w:val="24"/>
          <w:szCs w:val="24"/>
        </w:rPr>
        <w:t>с участием заявителя</w:t>
      </w:r>
      <w:r w:rsidR="003266AE" w:rsidRPr="00F613B9">
        <w:rPr>
          <w:rFonts w:ascii="Times New Roman" w:hAnsi="Times New Roman" w:cs="Times New Roman"/>
          <w:sz w:val="24"/>
          <w:szCs w:val="24"/>
        </w:rPr>
        <w:t xml:space="preserve">, </w:t>
      </w:r>
      <w:r w:rsidR="00926B88" w:rsidRPr="00F613B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266AE" w:rsidRPr="00F613B9">
        <w:rPr>
          <w:rFonts w:ascii="Times New Roman" w:hAnsi="Times New Roman" w:cs="Times New Roman"/>
          <w:sz w:val="24"/>
          <w:szCs w:val="24"/>
        </w:rPr>
        <w:t>рассмотрение</w:t>
      </w:r>
      <w:r w:rsidR="00926B88" w:rsidRPr="00F613B9">
        <w:rPr>
          <w:rFonts w:ascii="Times New Roman" w:hAnsi="Times New Roman" w:cs="Times New Roman"/>
          <w:sz w:val="24"/>
          <w:szCs w:val="24"/>
        </w:rPr>
        <w:t xml:space="preserve"> </w:t>
      </w:r>
      <w:r w:rsidR="003266AE" w:rsidRPr="00F613B9">
        <w:rPr>
          <w:rFonts w:ascii="Times New Roman" w:hAnsi="Times New Roman" w:cs="Times New Roman"/>
          <w:sz w:val="24"/>
          <w:szCs w:val="24"/>
        </w:rPr>
        <w:t xml:space="preserve"> с выездом на место. Такая форма организации работы при рассмотрении обращений граждан позволяет не только повысить качество их рассмотрения, но и исключает формальный подход, что в результате должно привести к решению проблем граждан.</w:t>
      </w:r>
      <w:r w:rsidR="00DA3F86" w:rsidRPr="00F613B9">
        <w:rPr>
          <w:rFonts w:ascii="Times New Roman" w:hAnsi="Times New Roman" w:cs="Times New Roman"/>
          <w:sz w:val="24"/>
          <w:szCs w:val="24"/>
        </w:rPr>
        <w:t xml:space="preserve"> Каждому заявителю своевременно дан ответ. Нарушение сроков рассмотрения обращений не допущено. Судебных исков граждан по обжалованию решений Главы Кривошеинского района по обращениям не поступало. Несмотря на </w:t>
      </w:r>
      <w:r w:rsidR="00A36D5A" w:rsidRPr="00F613B9">
        <w:rPr>
          <w:rFonts w:ascii="Times New Roman" w:hAnsi="Times New Roman" w:cs="Times New Roman"/>
          <w:sz w:val="24"/>
          <w:szCs w:val="24"/>
        </w:rPr>
        <w:t>принимаемые меры</w:t>
      </w:r>
      <w:r w:rsidR="00DA3F86" w:rsidRPr="00F613B9">
        <w:rPr>
          <w:rFonts w:ascii="Times New Roman" w:hAnsi="Times New Roman" w:cs="Times New Roman"/>
          <w:sz w:val="24"/>
          <w:szCs w:val="24"/>
        </w:rPr>
        <w:t xml:space="preserve">, в работе с обращениями граждан </w:t>
      </w:r>
      <w:r w:rsidR="008739EF" w:rsidRPr="00F613B9">
        <w:rPr>
          <w:rFonts w:ascii="Times New Roman" w:hAnsi="Times New Roman" w:cs="Times New Roman"/>
          <w:sz w:val="24"/>
          <w:szCs w:val="24"/>
        </w:rPr>
        <w:t>н</w:t>
      </w:r>
      <w:r w:rsidR="00A36D5A" w:rsidRPr="00F613B9">
        <w:rPr>
          <w:rFonts w:ascii="Times New Roman" w:hAnsi="Times New Roman" w:cs="Times New Roman"/>
          <w:sz w:val="24"/>
          <w:szCs w:val="24"/>
        </w:rPr>
        <w:t>е</w:t>
      </w:r>
      <w:r w:rsidR="00DA3F86" w:rsidRPr="00F613B9">
        <w:rPr>
          <w:rFonts w:ascii="Times New Roman" w:hAnsi="Times New Roman" w:cs="Times New Roman"/>
          <w:sz w:val="24"/>
          <w:szCs w:val="24"/>
        </w:rPr>
        <w:t xml:space="preserve"> </w:t>
      </w:r>
      <w:r w:rsidR="00A36D5A" w:rsidRPr="00F613B9">
        <w:rPr>
          <w:rFonts w:ascii="Times New Roman" w:hAnsi="Times New Roman" w:cs="Times New Roman"/>
          <w:sz w:val="24"/>
          <w:szCs w:val="24"/>
        </w:rPr>
        <w:t>сокращается</w:t>
      </w:r>
      <w:r w:rsidR="00DA3F86" w:rsidRPr="00F613B9">
        <w:rPr>
          <w:rFonts w:ascii="Times New Roman" w:hAnsi="Times New Roman" w:cs="Times New Roman"/>
          <w:sz w:val="24"/>
          <w:szCs w:val="24"/>
        </w:rPr>
        <w:t xml:space="preserve"> число повторных обращений, что свидетельствует о том, что не всегда </w:t>
      </w:r>
      <w:r w:rsidR="00A36D5A" w:rsidRPr="00F613B9">
        <w:rPr>
          <w:rFonts w:ascii="Times New Roman" w:hAnsi="Times New Roman" w:cs="Times New Roman"/>
          <w:sz w:val="24"/>
          <w:szCs w:val="24"/>
        </w:rPr>
        <w:t>принимаются</w:t>
      </w:r>
      <w:r w:rsidR="00DA3F86" w:rsidRPr="00F613B9">
        <w:rPr>
          <w:rFonts w:ascii="Times New Roman" w:hAnsi="Times New Roman" w:cs="Times New Roman"/>
          <w:sz w:val="24"/>
          <w:szCs w:val="24"/>
        </w:rPr>
        <w:t xml:space="preserve"> исчерпывающие меры</w:t>
      </w:r>
      <w:r w:rsidR="008739EF" w:rsidRPr="00F613B9">
        <w:rPr>
          <w:rFonts w:ascii="Times New Roman" w:hAnsi="Times New Roman" w:cs="Times New Roman"/>
          <w:sz w:val="24"/>
          <w:szCs w:val="24"/>
        </w:rPr>
        <w:t xml:space="preserve"> для решения проблем заявителей, </w:t>
      </w:r>
      <w:r w:rsidR="008739EF" w:rsidRPr="002725A5">
        <w:rPr>
          <w:rFonts w:ascii="Times New Roman" w:hAnsi="Times New Roman" w:cs="Times New Roman"/>
          <w:sz w:val="24"/>
          <w:szCs w:val="24"/>
        </w:rPr>
        <w:t>в основном это касается вопросов ЖКХ</w:t>
      </w:r>
      <w:r w:rsidR="002725A5" w:rsidRPr="002725A5">
        <w:rPr>
          <w:rFonts w:ascii="Times New Roman" w:hAnsi="Times New Roman" w:cs="Times New Roman"/>
          <w:sz w:val="24"/>
          <w:szCs w:val="24"/>
        </w:rPr>
        <w:t>, решение жилищных проблем</w:t>
      </w:r>
      <w:r w:rsidR="008739EF" w:rsidRPr="002725A5">
        <w:rPr>
          <w:rFonts w:ascii="Times New Roman" w:hAnsi="Times New Roman" w:cs="Times New Roman"/>
          <w:sz w:val="24"/>
          <w:szCs w:val="24"/>
        </w:rPr>
        <w:t>.</w:t>
      </w:r>
    </w:p>
    <w:p w:rsidR="00DB2EFD" w:rsidRDefault="00224150" w:rsidP="00762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B2EFD" w:rsidRDefault="00DB2EFD" w:rsidP="00762056">
      <w:pPr>
        <w:jc w:val="both"/>
        <w:rPr>
          <w:rFonts w:ascii="Times New Roman" w:hAnsi="Times New Roman" w:cs="Times New Roman"/>
        </w:rPr>
      </w:pPr>
    </w:p>
    <w:p w:rsidR="00DB2EFD" w:rsidRDefault="00DB2EFD" w:rsidP="00762056">
      <w:pPr>
        <w:jc w:val="both"/>
        <w:rPr>
          <w:rFonts w:ascii="Times New Roman" w:hAnsi="Times New Roman" w:cs="Times New Roman"/>
        </w:rPr>
      </w:pPr>
    </w:p>
    <w:p w:rsidR="00DB2EFD" w:rsidRDefault="00DB2EFD" w:rsidP="00762056">
      <w:pPr>
        <w:jc w:val="both"/>
        <w:rPr>
          <w:rFonts w:ascii="Times New Roman" w:hAnsi="Times New Roman" w:cs="Times New Roman"/>
        </w:rPr>
      </w:pPr>
    </w:p>
    <w:p w:rsidR="00177ABB" w:rsidRPr="00762056" w:rsidRDefault="00224150" w:rsidP="00762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B2EFD">
        <w:rPr>
          <w:rFonts w:ascii="Times New Roman" w:hAnsi="Times New Roman" w:cs="Times New Roman"/>
        </w:rPr>
        <w:t xml:space="preserve">          </w:t>
      </w:r>
      <w:r w:rsidR="00FB0508" w:rsidRPr="003147FC">
        <w:rPr>
          <w:rFonts w:ascii="Times New Roman" w:hAnsi="Times New Roman" w:cs="Times New Roman"/>
          <w:b/>
          <w:sz w:val="28"/>
          <w:szCs w:val="28"/>
        </w:rPr>
        <w:t>Количество обращений граждан в разрезе социальных групп</w:t>
      </w:r>
    </w:p>
    <w:p w:rsidR="00FB0508" w:rsidRPr="003147FC" w:rsidRDefault="00ED3735" w:rsidP="00314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FC">
        <w:rPr>
          <w:rFonts w:ascii="Times New Roman" w:hAnsi="Times New Roman" w:cs="Times New Roman"/>
          <w:b/>
          <w:sz w:val="28"/>
          <w:szCs w:val="28"/>
        </w:rPr>
        <w:t>за 2017</w:t>
      </w:r>
      <w:r w:rsidR="00FB0508" w:rsidRPr="003147FC">
        <w:rPr>
          <w:rFonts w:ascii="Times New Roman" w:hAnsi="Times New Roman" w:cs="Times New Roman"/>
          <w:b/>
          <w:sz w:val="28"/>
          <w:szCs w:val="28"/>
        </w:rPr>
        <w:t>-201</w:t>
      </w:r>
      <w:r w:rsidR="006116FF">
        <w:rPr>
          <w:rFonts w:ascii="Times New Roman" w:hAnsi="Times New Roman" w:cs="Times New Roman"/>
          <w:b/>
          <w:sz w:val="28"/>
          <w:szCs w:val="28"/>
        </w:rPr>
        <w:t>9</w:t>
      </w:r>
      <w:r w:rsidR="00FB0508" w:rsidRPr="003147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9464" w:type="dxa"/>
        <w:tblLook w:val="04A0"/>
      </w:tblPr>
      <w:tblGrid>
        <w:gridCol w:w="5510"/>
        <w:gridCol w:w="1141"/>
        <w:gridCol w:w="1141"/>
        <w:gridCol w:w="1672"/>
      </w:tblGrid>
      <w:tr w:rsidR="00DB2EFD" w:rsidRPr="008C5F54" w:rsidTr="00E043C3">
        <w:trPr>
          <w:trHeight w:val="645"/>
        </w:trPr>
        <w:tc>
          <w:tcPr>
            <w:tcW w:w="5510" w:type="dxa"/>
            <w:tcBorders>
              <w:right w:val="single" w:sz="4" w:space="0" w:color="auto"/>
            </w:tcBorders>
          </w:tcPr>
          <w:p w:rsidR="00DB2EFD" w:rsidRPr="008C5F54" w:rsidRDefault="00DB2EFD" w:rsidP="004C029C">
            <w:pPr>
              <w:jc w:val="center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Категории заявителей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center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B2EFD" w:rsidRPr="008C5F54" w:rsidRDefault="00DB2EFD" w:rsidP="004C0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FD" w:rsidRPr="008C5F54" w:rsidTr="00E043C3">
        <w:trPr>
          <w:trHeight w:val="310"/>
        </w:trPr>
        <w:tc>
          <w:tcPr>
            <w:tcW w:w="5510" w:type="dxa"/>
            <w:tcBorders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Ветераны труда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0</w:t>
            </w:r>
          </w:p>
        </w:tc>
      </w:tr>
      <w:tr w:rsidR="00DB2EFD" w:rsidRPr="008C5F54" w:rsidTr="00E043C3">
        <w:trPr>
          <w:trHeight w:val="323"/>
        </w:trPr>
        <w:tc>
          <w:tcPr>
            <w:tcW w:w="5510" w:type="dxa"/>
            <w:tcBorders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Иные категории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4</w:t>
            </w:r>
            <w:r w:rsidR="00B345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943033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2EFD" w:rsidRPr="008C5F54" w:rsidTr="00E043C3">
        <w:trPr>
          <w:trHeight w:val="310"/>
        </w:trPr>
        <w:tc>
          <w:tcPr>
            <w:tcW w:w="5510" w:type="dxa"/>
            <w:tcBorders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943033" w:rsidP="004C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2EFD" w:rsidRPr="008C5F54" w:rsidTr="00E043C3">
        <w:trPr>
          <w:trHeight w:val="323"/>
        </w:trPr>
        <w:tc>
          <w:tcPr>
            <w:tcW w:w="5510" w:type="dxa"/>
            <w:tcBorders>
              <w:bottom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Одинокие родители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0</w:t>
            </w:r>
          </w:p>
        </w:tc>
      </w:tr>
      <w:tr w:rsidR="00DB2EFD" w:rsidRPr="008C5F54" w:rsidTr="00E043C3">
        <w:trPr>
          <w:trHeight w:val="310"/>
        </w:trPr>
        <w:tc>
          <w:tcPr>
            <w:tcW w:w="5510" w:type="dxa"/>
            <w:tcBorders>
              <w:top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 xml:space="preserve">Многодетные семьи 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B2EFD" w:rsidRPr="008C5F54" w:rsidRDefault="00B34537" w:rsidP="004C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DB2EFD" w:rsidRPr="008C5F54" w:rsidRDefault="00943033" w:rsidP="004C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EFD" w:rsidRPr="008C5F54" w:rsidTr="00E043C3">
        <w:trPr>
          <w:trHeight w:val="323"/>
        </w:trPr>
        <w:tc>
          <w:tcPr>
            <w:tcW w:w="5510" w:type="dxa"/>
            <w:tcBorders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Осужденные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DB2EFD" w:rsidRPr="008C5F54" w:rsidRDefault="00943033" w:rsidP="004C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EFD" w:rsidRPr="008C5F54" w:rsidTr="00E043C3">
        <w:trPr>
          <w:trHeight w:val="393"/>
        </w:trPr>
        <w:tc>
          <w:tcPr>
            <w:tcW w:w="5510" w:type="dxa"/>
            <w:tcBorders>
              <w:bottom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Работники бюджетной сферы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DB2EFD" w:rsidRPr="008C5F54" w:rsidRDefault="00943033" w:rsidP="004C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B2EFD" w:rsidRPr="008C5F54" w:rsidTr="00E043C3">
        <w:trPr>
          <w:trHeight w:val="469"/>
        </w:trPr>
        <w:tc>
          <w:tcPr>
            <w:tcW w:w="5510" w:type="dxa"/>
            <w:tcBorders>
              <w:top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Работники сферы предпринимательства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DB2EFD" w:rsidRPr="008C5F54" w:rsidRDefault="00943033" w:rsidP="004C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2EFD" w:rsidRPr="008C5F54" w:rsidTr="00E043C3">
        <w:trPr>
          <w:trHeight w:val="310"/>
        </w:trPr>
        <w:tc>
          <w:tcPr>
            <w:tcW w:w="5510" w:type="dxa"/>
            <w:tcBorders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DB2EFD" w:rsidRPr="008C5F54" w:rsidRDefault="00943033" w:rsidP="004C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B2EFD" w:rsidRPr="008C5F54" w:rsidTr="00E043C3">
        <w:trPr>
          <w:trHeight w:val="323"/>
        </w:trPr>
        <w:tc>
          <w:tcPr>
            <w:tcW w:w="5510" w:type="dxa"/>
            <w:tcBorders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DB2EFD" w:rsidRPr="008C5F54" w:rsidRDefault="00943033" w:rsidP="004C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2EFD" w:rsidRPr="008C5F54" w:rsidTr="00E043C3">
        <w:trPr>
          <w:trHeight w:val="310"/>
        </w:trPr>
        <w:tc>
          <w:tcPr>
            <w:tcW w:w="5510" w:type="dxa"/>
            <w:tcBorders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</w:rPr>
            </w:pPr>
            <w:r w:rsidRPr="008C5F54">
              <w:rPr>
                <w:rFonts w:ascii="Times New Roman" w:hAnsi="Times New Roman" w:cs="Times New Roman"/>
              </w:rPr>
              <w:t xml:space="preserve">Дети сироты 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DB2EFD" w:rsidRPr="008C5F54" w:rsidRDefault="00943033" w:rsidP="004C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EFD" w:rsidRPr="008C5F54" w:rsidTr="00E043C3">
        <w:trPr>
          <w:trHeight w:val="335"/>
        </w:trPr>
        <w:tc>
          <w:tcPr>
            <w:tcW w:w="5510" w:type="dxa"/>
            <w:tcBorders>
              <w:right w:val="single" w:sz="4" w:space="0" w:color="auto"/>
            </w:tcBorders>
          </w:tcPr>
          <w:p w:rsidR="00DB2EFD" w:rsidRPr="008C5F54" w:rsidRDefault="00DB2EFD" w:rsidP="004C02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F5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DB2EFD" w:rsidRPr="008C5F54" w:rsidRDefault="00B34537" w:rsidP="004C0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:rsidR="00177ABB" w:rsidRPr="00177ABB" w:rsidRDefault="00177ABB" w:rsidP="00177ABB">
      <w:pPr>
        <w:jc w:val="both"/>
        <w:rPr>
          <w:rFonts w:ascii="Times New Roman" w:hAnsi="Times New Roman" w:cs="Times New Roman"/>
        </w:rPr>
      </w:pPr>
    </w:p>
    <w:p w:rsidR="00BB70FC" w:rsidRPr="008C5F54" w:rsidRDefault="00BB70FC" w:rsidP="00BB70FC">
      <w:pPr>
        <w:ind w:left="-180" w:firstLine="888"/>
        <w:jc w:val="both"/>
        <w:rPr>
          <w:rFonts w:ascii="Times New Roman" w:hAnsi="Times New Roman" w:cs="Times New Roman"/>
        </w:rPr>
      </w:pPr>
    </w:p>
    <w:p w:rsidR="00A36D5A" w:rsidRPr="003147FC" w:rsidRDefault="00773803" w:rsidP="00784FC9">
      <w:pPr>
        <w:spacing w:line="264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4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147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52CE1" w:rsidRPr="003147FC">
        <w:rPr>
          <w:rFonts w:ascii="Times New Roman" w:hAnsi="Times New Roman" w:cs="Times New Roman"/>
          <w:b/>
          <w:sz w:val="28"/>
          <w:szCs w:val="28"/>
        </w:rPr>
        <w:t>Задачи на 2020</w:t>
      </w:r>
      <w:r w:rsidR="00A36D5A" w:rsidRPr="003147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6D5A" w:rsidRPr="00F613B9" w:rsidRDefault="00A36D5A" w:rsidP="00A36D5A">
      <w:pPr>
        <w:spacing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54">
        <w:rPr>
          <w:rFonts w:ascii="Arial" w:hAnsi="Arial" w:cs="Arial"/>
          <w:color w:val="0A0808"/>
          <w:shd w:val="clear" w:color="auto" w:fill="FFFFFF"/>
        </w:rPr>
        <w:t xml:space="preserve"> </w:t>
      </w:r>
      <w:r w:rsidRPr="00F613B9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 xml:space="preserve"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</w:t>
      </w:r>
      <w:r w:rsidR="00743B55" w:rsidRPr="00F613B9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контроля за полнотой рассмотрения вопросов, изложенных в обращениях и подготовкой качественных ответов.</w:t>
      </w:r>
    </w:p>
    <w:p w:rsidR="0054133A" w:rsidRPr="00F613B9" w:rsidRDefault="0054133A" w:rsidP="007C3D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133A" w:rsidRPr="00F613B9" w:rsidSect="0096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54" w:rsidRDefault="00554554" w:rsidP="000913DD">
      <w:pPr>
        <w:spacing w:after="0" w:line="240" w:lineRule="auto"/>
      </w:pPr>
      <w:r>
        <w:separator/>
      </w:r>
    </w:p>
  </w:endnote>
  <w:endnote w:type="continuationSeparator" w:id="1">
    <w:p w:rsidR="00554554" w:rsidRDefault="00554554" w:rsidP="000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54" w:rsidRDefault="00554554" w:rsidP="000913DD">
      <w:pPr>
        <w:spacing w:after="0" w:line="240" w:lineRule="auto"/>
      </w:pPr>
      <w:r>
        <w:separator/>
      </w:r>
    </w:p>
  </w:footnote>
  <w:footnote w:type="continuationSeparator" w:id="1">
    <w:p w:rsidR="00554554" w:rsidRDefault="00554554" w:rsidP="0009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F43"/>
    <w:rsid w:val="000011F0"/>
    <w:rsid w:val="0000565C"/>
    <w:rsid w:val="00036C2C"/>
    <w:rsid w:val="00041E44"/>
    <w:rsid w:val="0006701E"/>
    <w:rsid w:val="00070460"/>
    <w:rsid w:val="000707A3"/>
    <w:rsid w:val="00090C09"/>
    <w:rsid w:val="000913DD"/>
    <w:rsid w:val="000A410B"/>
    <w:rsid w:val="000A52B4"/>
    <w:rsid w:val="000B3EC5"/>
    <w:rsid w:val="000B6769"/>
    <w:rsid w:val="000C4A13"/>
    <w:rsid w:val="000D4019"/>
    <w:rsid w:val="000F0EF3"/>
    <w:rsid w:val="000F45CF"/>
    <w:rsid w:val="000F5AE9"/>
    <w:rsid w:val="00100E40"/>
    <w:rsid w:val="00102B83"/>
    <w:rsid w:val="001032FB"/>
    <w:rsid w:val="00112A0C"/>
    <w:rsid w:val="001241FB"/>
    <w:rsid w:val="0013036B"/>
    <w:rsid w:val="001318FC"/>
    <w:rsid w:val="00132A97"/>
    <w:rsid w:val="00136092"/>
    <w:rsid w:val="00147FB5"/>
    <w:rsid w:val="00177ABB"/>
    <w:rsid w:val="001935D0"/>
    <w:rsid w:val="001A351E"/>
    <w:rsid w:val="001A3E6B"/>
    <w:rsid w:val="001B58B9"/>
    <w:rsid w:val="001D262A"/>
    <w:rsid w:val="001E4C8A"/>
    <w:rsid w:val="001E565B"/>
    <w:rsid w:val="002027E8"/>
    <w:rsid w:val="002204CD"/>
    <w:rsid w:val="00224150"/>
    <w:rsid w:val="00226D57"/>
    <w:rsid w:val="00233957"/>
    <w:rsid w:val="00244F43"/>
    <w:rsid w:val="002725A5"/>
    <w:rsid w:val="002779DF"/>
    <w:rsid w:val="00287E1B"/>
    <w:rsid w:val="002B2798"/>
    <w:rsid w:val="002B477E"/>
    <w:rsid w:val="002B59D9"/>
    <w:rsid w:val="002B7881"/>
    <w:rsid w:val="002C15DF"/>
    <w:rsid w:val="002C2E9A"/>
    <w:rsid w:val="002C7AFE"/>
    <w:rsid w:val="002D699D"/>
    <w:rsid w:val="002D7E05"/>
    <w:rsid w:val="002F2D26"/>
    <w:rsid w:val="002F6DC7"/>
    <w:rsid w:val="003147FC"/>
    <w:rsid w:val="003266AE"/>
    <w:rsid w:val="00350F0B"/>
    <w:rsid w:val="00351BE2"/>
    <w:rsid w:val="00365084"/>
    <w:rsid w:val="00383C59"/>
    <w:rsid w:val="0039365C"/>
    <w:rsid w:val="003A171B"/>
    <w:rsid w:val="003B7CE9"/>
    <w:rsid w:val="003E0D5C"/>
    <w:rsid w:val="003F16B6"/>
    <w:rsid w:val="003F46C4"/>
    <w:rsid w:val="00431DAA"/>
    <w:rsid w:val="004603A6"/>
    <w:rsid w:val="0047660C"/>
    <w:rsid w:val="00495D53"/>
    <w:rsid w:val="004C39A5"/>
    <w:rsid w:val="004C7BCC"/>
    <w:rsid w:val="004C7CF6"/>
    <w:rsid w:val="004F37B2"/>
    <w:rsid w:val="004F7A38"/>
    <w:rsid w:val="00501866"/>
    <w:rsid w:val="00501B3D"/>
    <w:rsid w:val="005024F6"/>
    <w:rsid w:val="00506D5E"/>
    <w:rsid w:val="005129D6"/>
    <w:rsid w:val="005330DD"/>
    <w:rsid w:val="0054133A"/>
    <w:rsid w:val="00542A94"/>
    <w:rsid w:val="00544849"/>
    <w:rsid w:val="00554554"/>
    <w:rsid w:val="00570580"/>
    <w:rsid w:val="00576ACE"/>
    <w:rsid w:val="00586F03"/>
    <w:rsid w:val="00594007"/>
    <w:rsid w:val="005A1260"/>
    <w:rsid w:val="005A587F"/>
    <w:rsid w:val="005B2115"/>
    <w:rsid w:val="005C1D5A"/>
    <w:rsid w:val="005D1AC7"/>
    <w:rsid w:val="005D6640"/>
    <w:rsid w:val="005D76F6"/>
    <w:rsid w:val="006116FF"/>
    <w:rsid w:val="00620E93"/>
    <w:rsid w:val="00631E5A"/>
    <w:rsid w:val="00652CE1"/>
    <w:rsid w:val="00657293"/>
    <w:rsid w:val="00662485"/>
    <w:rsid w:val="0066512B"/>
    <w:rsid w:val="00676572"/>
    <w:rsid w:val="00683EBC"/>
    <w:rsid w:val="00685331"/>
    <w:rsid w:val="006A1549"/>
    <w:rsid w:val="006A67BB"/>
    <w:rsid w:val="006B29DF"/>
    <w:rsid w:val="006C4295"/>
    <w:rsid w:val="006C44E1"/>
    <w:rsid w:val="006E1CE0"/>
    <w:rsid w:val="006E65D0"/>
    <w:rsid w:val="0070273A"/>
    <w:rsid w:val="00732EBB"/>
    <w:rsid w:val="007439C9"/>
    <w:rsid w:val="00743B55"/>
    <w:rsid w:val="00756879"/>
    <w:rsid w:val="00762056"/>
    <w:rsid w:val="00773803"/>
    <w:rsid w:val="00784FC9"/>
    <w:rsid w:val="00791F85"/>
    <w:rsid w:val="00795DE9"/>
    <w:rsid w:val="00796184"/>
    <w:rsid w:val="007B4072"/>
    <w:rsid w:val="007C3D67"/>
    <w:rsid w:val="007E1E4E"/>
    <w:rsid w:val="007E2F49"/>
    <w:rsid w:val="00806386"/>
    <w:rsid w:val="00831D57"/>
    <w:rsid w:val="008467DD"/>
    <w:rsid w:val="00847EF3"/>
    <w:rsid w:val="00850310"/>
    <w:rsid w:val="008739EF"/>
    <w:rsid w:val="00880ABE"/>
    <w:rsid w:val="00885989"/>
    <w:rsid w:val="00886B09"/>
    <w:rsid w:val="00886DDD"/>
    <w:rsid w:val="00890F60"/>
    <w:rsid w:val="008A045E"/>
    <w:rsid w:val="008C5F54"/>
    <w:rsid w:val="008D091F"/>
    <w:rsid w:val="008E381D"/>
    <w:rsid w:val="008F12C8"/>
    <w:rsid w:val="00901A68"/>
    <w:rsid w:val="00912151"/>
    <w:rsid w:val="00926B88"/>
    <w:rsid w:val="00943033"/>
    <w:rsid w:val="00961751"/>
    <w:rsid w:val="009619B4"/>
    <w:rsid w:val="0096398C"/>
    <w:rsid w:val="00964420"/>
    <w:rsid w:val="00972C4E"/>
    <w:rsid w:val="00975817"/>
    <w:rsid w:val="0098201A"/>
    <w:rsid w:val="009A46FA"/>
    <w:rsid w:val="009C05B1"/>
    <w:rsid w:val="00A22502"/>
    <w:rsid w:val="00A322A8"/>
    <w:rsid w:val="00A35FFE"/>
    <w:rsid w:val="00A36D5A"/>
    <w:rsid w:val="00A41432"/>
    <w:rsid w:val="00A47EDA"/>
    <w:rsid w:val="00A62CE6"/>
    <w:rsid w:val="00A651BE"/>
    <w:rsid w:val="00A74BBF"/>
    <w:rsid w:val="00A90AD8"/>
    <w:rsid w:val="00AA1B30"/>
    <w:rsid w:val="00AB3842"/>
    <w:rsid w:val="00AB47B3"/>
    <w:rsid w:val="00AB6EB7"/>
    <w:rsid w:val="00AC2F5E"/>
    <w:rsid w:val="00AC43CD"/>
    <w:rsid w:val="00AD0D28"/>
    <w:rsid w:val="00AE1598"/>
    <w:rsid w:val="00AE3A9D"/>
    <w:rsid w:val="00B02DA6"/>
    <w:rsid w:val="00B042E9"/>
    <w:rsid w:val="00B06AE2"/>
    <w:rsid w:val="00B07A28"/>
    <w:rsid w:val="00B11364"/>
    <w:rsid w:val="00B14D69"/>
    <w:rsid w:val="00B179A8"/>
    <w:rsid w:val="00B2700B"/>
    <w:rsid w:val="00B30E1B"/>
    <w:rsid w:val="00B338BB"/>
    <w:rsid w:val="00B34537"/>
    <w:rsid w:val="00B3460B"/>
    <w:rsid w:val="00B70751"/>
    <w:rsid w:val="00B87640"/>
    <w:rsid w:val="00BA3A89"/>
    <w:rsid w:val="00BB70FC"/>
    <w:rsid w:val="00BE023E"/>
    <w:rsid w:val="00C1138A"/>
    <w:rsid w:val="00C115A3"/>
    <w:rsid w:val="00C40813"/>
    <w:rsid w:val="00C51154"/>
    <w:rsid w:val="00C668DD"/>
    <w:rsid w:val="00C72E1D"/>
    <w:rsid w:val="00C9082A"/>
    <w:rsid w:val="00C95CCA"/>
    <w:rsid w:val="00CA595D"/>
    <w:rsid w:val="00CA6705"/>
    <w:rsid w:val="00D036B5"/>
    <w:rsid w:val="00D0586B"/>
    <w:rsid w:val="00D17474"/>
    <w:rsid w:val="00D40E8D"/>
    <w:rsid w:val="00D45E17"/>
    <w:rsid w:val="00D47BF9"/>
    <w:rsid w:val="00D50F10"/>
    <w:rsid w:val="00D519A1"/>
    <w:rsid w:val="00D51C02"/>
    <w:rsid w:val="00D54475"/>
    <w:rsid w:val="00DA3F86"/>
    <w:rsid w:val="00DB2B4B"/>
    <w:rsid w:val="00DB2EFD"/>
    <w:rsid w:val="00DC6437"/>
    <w:rsid w:val="00DC75F5"/>
    <w:rsid w:val="00DE7FF6"/>
    <w:rsid w:val="00E043C3"/>
    <w:rsid w:val="00E0695C"/>
    <w:rsid w:val="00E25293"/>
    <w:rsid w:val="00E377F6"/>
    <w:rsid w:val="00E43E8E"/>
    <w:rsid w:val="00E64542"/>
    <w:rsid w:val="00E65A48"/>
    <w:rsid w:val="00E72E56"/>
    <w:rsid w:val="00E76310"/>
    <w:rsid w:val="00E95B48"/>
    <w:rsid w:val="00EA2018"/>
    <w:rsid w:val="00EA6243"/>
    <w:rsid w:val="00EC35C6"/>
    <w:rsid w:val="00ED2319"/>
    <w:rsid w:val="00ED3735"/>
    <w:rsid w:val="00ED6F76"/>
    <w:rsid w:val="00EF3ECE"/>
    <w:rsid w:val="00F00AA3"/>
    <w:rsid w:val="00F01AF1"/>
    <w:rsid w:val="00F039BC"/>
    <w:rsid w:val="00F255CC"/>
    <w:rsid w:val="00F26B06"/>
    <w:rsid w:val="00F40A9F"/>
    <w:rsid w:val="00F613B9"/>
    <w:rsid w:val="00FB0508"/>
    <w:rsid w:val="00FB468D"/>
    <w:rsid w:val="00FB5D56"/>
    <w:rsid w:val="00FB6E41"/>
    <w:rsid w:val="00FC454F"/>
    <w:rsid w:val="00FC68EC"/>
    <w:rsid w:val="00FF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3DD"/>
  </w:style>
  <w:style w:type="paragraph" w:styleId="a8">
    <w:name w:val="footer"/>
    <w:basedOn w:val="a"/>
    <w:link w:val="a9"/>
    <w:uiPriority w:val="99"/>
    <w:unhideWhenUsed/>
    <w:rsid w:val="0009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0757576678437304E-2"/>
          <c:y val="2.4216347956505641E-2"/>
          <c:w val="0.61112574257492791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143</c:v>
                </c:pt>
                <c:pt idx="1">
                  <c:v>98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обращение перенаправленные из выше стоящих органов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29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личного приема Главы Кривошеинского района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shape val="pyramid"/>
        <c:axId val="156942720"/>
        <c:axId val="156945408"/>
        <c:axId val="0"/>
      </c:bar3DChart>
      <c:catAx>
        <c:axId val="156942720"/>
        <c:scaling>
          <c:orientation val="minMax"/>
        </c:scaling>
        <c:axPos val="b"/>
        <c:numFmt formatCode="General" sourceLinked="1"/>
        <c:tickLblPos val="nextTo"/>
        <c:crossAx val="156945408"/>
        <c:crosses val="autoZero"/>
        <c:auto val="1"/>
        <c:lblAlgn val="ctr"/>
        <c:lblOffset val="100"/>
      </c:catAx>
      <c:valAx>
        <c:axId val="156945408"/>
        <c:scaling>
          <c:orientation val="minMax"/>
        </c:scaling>
        <c:axPos val="l"/>
        <c:majorGridlines/>
        <c:numFmt formatCode="General" sourceLinked="1"/>
        <c:tickLblPos val="nextTo"/>
        <c:crossAx val="15694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7100613700099"/>
          <c:y val="1.8519906055557027E-2"/>
          <c:w val="0.32390397392808373"/>
          <c:h val="0.58634951091653353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515602286830835E-2"/>
          <c:y val="4.6967570185542588E-2"/>
          <c:w val="0.70244042645137594"/>
          <c:h val="0.815626921562605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48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35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 сферы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hape val="cone"/>
        <c:axId val="157035904"/>
        <c:axId val="157091328"/>
        <c:axId val="0"/>
      </c:bar3DChart>
      <c:catAx>
        <c:axId val="157035904"/>
        <c:scaling>
          <c:orientation val="minMax"/>
        </c:scaling>
        <c:axPos val="b"/>
        <c:numFmt formatCode="General" sourceLinked="1"/>
        <c:tickLblPos val="nextTo"/>
        <c:crossAx val="157091328"/>
        <c:crosses val="autoZero"/>
        <c:auto val="1"/>
        <c:lblAlgn val="ctr"/>
        <c:lblOffset val="100"/>
      </c:catAx>
      <c:valAx>
        <c:axId val="157091328"/>
        <c:scaling>
          <c:orientation val="minMax"/>
        </c:scaling>
        <c:axPos val="l"/>
        <c:majorGridlines/>
        <c:numFmt formatCode="General" sourceLinked="1"/>
        <c:tickLblPos val="nextTo"/>
        <c:crossAx val="157035904"/>
        <c:crosses val="autoZero"/>
        <c:crossBetween val="between"/>
      </c:valAx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5611-673B-43E5-B0C8-2B2F882C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56user2</cp:lastModifiedBy>
  <cp:revision>17</cp:revision>
  <cp:lastPrinted>2018-03-19T08:39:00Z</cp:lastPrinted>
  <dcterms:created xsi:type="dcterms:W3CDTF">2020-02-07T09:09:00Z</dcterms:created>
  <dcterms:modified xsi:type="dcterms:W3CDTF">2020-03-03T08:12:00Z</dcterms:modified>
</cp:coreProperties>
</file>